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793C" w14:textId="77777777" w:rsidR="00A06BD9" w:rsidRDefault="00A06BD9">
      <w:pPr>
        <w:spacing w:before="1200" w:after="180"/>
        <w:jc w:val="center"/>
        <w:rPr>
          <w:b/>
          <w:bCs/>
          <w:sz w:val="34"/>
          <w:szCs w:val="34"/>
        </w:rPr>
      </w:pPr>
    </w:p>
    <w:p w14:paraId="6DA6F937" w14:textId="77777777" w:rsidR="009672B3" w:rsidRDefault="00B24ABA">
      <w:pPr>
        <w:spacing w:before="1200" w:after="180"/>
        <w:jc w:val="center"/>
      </w:pPr>
      <w:r>
        <w:rPr>
          <w:b/>
          <w:bCs/>
          <w:sz w:val="34"/>
          <w:szCs w:val="34"/>
        </w:rPr>
        <w:t>What Drives Cross-Asset Uncertainty?</w:t>
      </w:r>
    </w:p>
    <w:p w14:paraId="39B3AE17" w14:textId="77777777" w:rsidR="009672B3" w:rsidRDefault="00B24ABA">
      <w:pPr>
        <w:spacing w:after="280"/>
        <w:jc w:val="center"/>
      </w:pPr>
      <w:r>
        <w:rPr>
          <w:sz w:val="24"/>
          <w:szCs w:val="24"/>
        </w:rPr>
        <w:t>Evidence from a monthly multi-asset macro-financial panel</w:t>
      </w:r>
    </w:p>
    <w:p w14:paraId="3D2A6C9E" w14:textId="77777777" w:rsidR="009672B3" w:rsidRDefault="00B24ABA">
      <w:pPr>
        <w:spacing w:after="80"/>
        <w:jc w:val="center"/>
      </w:pPr>
      <w:r>
        <w:t>QM 2023 Capstone Project</w:t>
      </w:r>
    </w:p>
    <w:p w14:paraId="1F95AF16" w14:textId="77777777" w:rsidR="009672B3" w:rsidRDefault="00B24ABA">
      <w:pPr>
        <w:spacing w:after="420"/>
        <w:jc w:val="center"/>
        <w:rPr>
          <w:i/>
          <w:iCs/>
          <w:sz w:val="20"/>
          <w:szCs w:val="20"/>
        </w:rPr>
      </w:pPr>
      <w:r>
        <w:rPr>
          <w:i/>
          <w:iCs/>
          <w:sz w:val="20"/>
          <w:szCs w:val="20"/>
        </w:rPr>
        <w:t>Prepared from the project’s M1, M2, and M3 results</w:t>
      </w:r>
    </w:p>
    <w:p w14:paraId="4C6A8F9F" w14:textId="77777777" w:rsidR="00A06BD9" w:rsidRDefault="00A06BD9">
      <w:pPr>
        <w:spacing w:after="420"/>
        <w:jc w:val="center"/>
        <w:rPr>
          <w:i/>
          <w:iCs/>
          <w:sz w:val="20"/>
          <w:szCs w:val="20"/>
        </w:rPr>
      </w:pPr>
    </w:p>
    <w:p w14:paraId="2F149C2E" w14:textId="77777777" w:rsidR="00A06BD9" w:rsidRDefault="00B24ABA">
      <w:pPr>
        <w:spacing w:after="180"/>
      </w:pPr>
      <w:r>
        <w:rPr>
          <w:b/>
          <w:bCs/>
        </w:rPr>
        <w:t>Research question</w:t>
      </w:r>
      <w:r>
        <w:t xml:space="preserve">: Which macro-financial forces drive cross-asset return dispersion, and to what extent do macroeconomic indicators predict relative performance across major asset classes? </w:t>
      </w:r>
    </w:p>
    <w:p w14:paraId="44B86D3F" w14:textId="77777777" w:rsidR="00A06BD9" w:rsidRDefault="00B24ABA">
      <w:pPr>
        <w:spacing w:after="180"/>
      </w:pPr>
      <w:r>
        <w:t>This memo identifies the primary drivers of cross-asset dispersion using exploratory correlation analysis and fixed-effects modeling, then interprets those drivers through timing, heterogeneity, and robustness diagnostics.</w:t>
      </w:r>
    </w:p>
    <w:p w14:paraId="7243F03C" w14:textId="77777777" w:rsidR="009672B3" w:rsidRDefault="00B24ABA">
      <w:pPr>
        <w:spacing w:after="180"/>
      </w:pPr>
      <w:r>
        <w:t>It synthesizes exploratory correlations, lag structures, heterogeneity tests, and fixed-effects versus random-forest benchmarks, anchoring interpretation in the accompanying figures.</w:t>
      </w:r>
    </w:p>
    <w:p w14:paraId="336432A5" w14:textId="77777777" w:rsidR="00A06BD9" w:rsidRDefault="00A06BD9">
      <w:pPr>
        <w:spacing w:after="180"/>
      </w:pPr>
    </w:p>
    <w:p w14:paraId="25F7BFBB" w14:textId="77777777" w:rsidR="00A06BD9" w:rsidRDefault="00A06BD9">
      <w:pPr>
        <w:spacing w:after="180"/>
      </w:pPr>
    </w:p>
    <w:p w14:paraId="2C832FF8" w14:textId="77777777" w:rsidR="00A06BD9" w:rsidRPr="00A06BD9" w:rsidRDefault="00A06BD9" w:rsidP="00A06BD9">
      <w:pPr>
        <w:spacing w:after="420"/>
        <w:jc w:val="center"/>
        <w:rPr>
          <w:b/>
          <w:bCs/>
          <w:sz w:val="28"/>
          <w:szCs w:val="28"/>
        </w:rPr>
      </w:pPr>
      <w:r>
        <w:rPr>
          <w:b/>
          <w:bCs/>
          <w:sz w:val="24"/>
          <w:szCs w:val="24"/>
        </w:rPr>
        <w:t>By: Sam Weber, Brett Ragle, and Anthony Ibarra</w:t>
      </w:r>
    </w:p>
    <w:p w14:paraId="3FD3F810" w14:textId="77777777" w:rsidR="00A06BD9" w:rsidRDefault="00A06BD9">
      <w:pPr>
        <w:spacing w:after="180"/>
      </w:pPr>
    </w:p>
    <w:p w14:paraId="41E055C7" w14:textId="77777777" w:rsidR="009F0B0F" w:rsidRDefault="00B24ABA">
      <w:r>
        <w:br w:type="page"/>
      </w:r>
    </w:p>
    <w:p w14:paraId="56479692" w14:textId="77777777" w:rsidR="009672B3" w:rsidRDefault="00B24ABA">
      <w:pPr>
        <w:spacing w:before="180" w:after="120"/>
      </w:pPr>
      <w:r>
        <w:rPr>
          <w:b/>
          <w:bCs/>
          <w:sz w:val="30"/>
          <w:szCs w:val="30"/>
        </w:rPr>
        <w:lastRenderedPageBreak/>
        <w:t>Executive Summary</w:t>
      </w:r>
    </w:p>
    <w:p w14:paraId="136852BB" w14:textId="77777777" w:rsidR="009F0B0F" w:rsidRDefault="00B24ABA">
      <w:pPr>
        <w:spacing w:before="120" w:after="60"/>
      </w:pPr>
      <w:r>
        <w:rPr>
          <w:b/>
        </w:rPr>
        <w:t>Key Findings</w:t>
      </w:r>
    </w:p>
    <w:p w14:paraId="243A94CB" w14:textId="77777777" w:rsidR="009F0B0F" w:rsidRDefault="00B24ABA">
      <w:r>
        <w:t>This executive summary synthesizes evidence on cross-asset divergence across equities (S&amp;P 500), housing (Case-Shiller), gold, and bitcoin over 168 monthly observations (2010–2024). The central result is that uncertainty (VIX) is the dominant contemporaneous driver of dispersion (r=0.55), while monetary policy affects relative performance primarily with a 12-month lag (lagged FFR r=0.111 vs. contemporaneous r=−0.108). Fixed-effects estimates indicate a one-unit increase in lagged policy exposure is associated with a −0.0029 percentage-point change in monthly divergence (p=0.668), while VIX exposure yields −0.0040 (p=0.104).</w:t>
      </w:r>
    </w:p>
    <w:p w14:paraId="766B06CF" w14:textId="77777777" w:rsidR="009F0B0F" w:rsidRDefault="00B24ABA">
      <w:pPr>
        <w:spacing w:before="120" w:after="60"/>
      </w:pPr>
      <w:r>
        <w:rPr>
          <w:b/>
        </w:rPr>
        <w:t>Heterogeneity and Robustness</w:t>
      </w:r>
    </w:p>
    <w:p w14:paraId="02F135F4" w14:textId="77777777" w:rsidR="009F0B0F" w:rsidRDefault="00B24ABA">
      <w:r>
        <w:t>Heterogeneity analyses show housing is most rate-sensitive (r=−0.165 with Fed Funds), equities show near-zero correlation (r=−0.008), and gold is rate-resilient with positive correlation (r=0.127), consistent with inflation-hedging demand. Robustness checks confirm stability: the policy coefficient remains −0.0029 across heteroskedasticity-consistent (HC0–HC3) specifications, crisis-window exclusions (2008–2009, March–May 2020) do not alter conclusions, and alternative lags (3, 6, 12 months) confirm the 12-month optimality. The Breusch-Pagan test (p=0.00042) indicates heteroskedasticity, and Random Forest improves test R² by only 5% (0.4969 vs. 0.4454 OLS), suggesting linear fixed effects capture the relationship structure.</w:t>
      </w:r>
    </w:p>
    <w:p w14:paraId="7AAF83C4" w14:textId="024A0548" w:rsidR="009F0B0F" w:rsidRDefault="00655EEB">
      <w:pPr>
        <w:spacing w:before="120" w:after="60"/>
      </w:pPr>
      <w:r>
        <w:rPr>
          <w:b/>
        </w:rPr>
        <w:t>Recommendations</w:t>
      </w:r>
    </w:p>
    <w:p w14:paraId="3A5EE3E7" w14:textId="77777777" w:rsidR="009F0B0F" w:rsidRDefault="00B24ABA">
      <w:r>
        <w:t>For portfolio interpretation, treat VIX and the 12-month lagged Fed Funds Rate as distinct signals operating on different horizons. Near-term dispersion rises when VIX exceeds 20, implying a mean-reversion posture over the next month, while the policy stance today is most informative for relative performance 12 months ahead, with housing bearing the largest impact. When tightening has persisted for a year, housing faces headwinds and gold stabilizes; approaching easing suggests a housing recovery in months 12–13. Consumer sentiment (r=−0.31 with divergence) provides a leading indicator that dispersion compresses as confidence improves.</w:t>
      </w:r>
    </w:p>
    <w:p w14:paraId="8B0F2A90" w14:textId="77777777" w:rsidR="009F0B0F" w:rsidRDefault="00B24ABA">
      <w:r>
        <w:br w:type="page"/>
      </w:r>
    </w:p>
    <w:p w14:paraId="5DAD2A92" w14:textId="77777777" w:rsidR="009F0B0F" w:rsidRDefault="00B24ABA">
      <w:pPr>
        <w:spacing w:before="180" w:after="120"/>
      </w:pPr>
      <w:r>
        <w:rPr>
          <w:b/>
          <w:bCs/>
          <w:sz w:val="30"/>
          <w:szCs w:val="30"/>
        </w:rPr>
        <w:t>Methodology</w:t>
      </w:r>
    </w:p>
    <w:p w14:paraId="2B07D4F1" w14:textId="77777777" w:rsidR="009F0B0F" w:rsidRDefault="00B24ABA">
      <w:pPr>
        <w:spacing w:after="240"/>
      </w:pPr>
      <w:r>
        <w:rPr>
          <w:b/>
        </w:rPr>
        <w:t>Data Sources.</w:t>
      </w:r>
      <w:r>
        <w:t xml:space="preserve"> To systematically investigate the drivers of cross-asset dispersion, this analysis constructs a comprehensive multi-asset macro-financial dataset spanning from 2001 through 2024. This combination merges high-fidelity market data with broad macroeconomic indicators to capture fundamental movements in the economy. Our dependent variables capture the relative performance across four distinct asset classes, chosen specifically to represent a spectrum of risk and inflation-hedging profiles: large-cap equities (S&amp;P 500 Index), real estate (Case-Shiller U.S. National Home Price Index), safe-haven commodities (continuous Gold Futures), and speculative cryptography (Bitcoin). Asset prices were retrieved programmatically via the Yahoo Finance API using comprehensive historic tracking pipelines, with the exception of the Case-Shiller index, which was natively drawn from the Federal Reserve Economic Data (FRED) database. To construct the accompanying explanatory feature set, we fetched fourteen distinct economic series from FRED. These broadly represent monetary policy and liquidity constraints (M1 and M2 monetary aggregates, alongside the effective Federal Funds Rate), interest rate dynamics and corporate credit conditions (10-year real interest rates, the 10Y-2Y Treasury yield curve slope, and the ICE BofA BBB Corporate Bond Spread), inflationary pressures (Median Consumer Price Index and the Personal Consumption Expenditures Price Index), real economic activity measurements (Gross Domestic Product and the headline unemployment rate), and finally, market risk measures and psychological barometers (the CBOE Volatility Index, the U.S. Economic Policy Uncertainty Index, and the University of Michigan Consumer Sentiment Index).</w:t>
      </w:r>
    </w:p>
    <w:p w14:paraId="6C8B9F3A" w14:textId="77777777" w:rsidR="009F0B0F" w:rsidRDefault="00B24ABA">
      <w:pPr>
        <w:spacing w:after="240"/>
      </w:pPr>
      <w:r>
        <w:rPr>
          <w:b/>
        </w:rPr>
        <w:t>Sample Construction.</w:t>
      </w:r>
      <w:r>
        <w:t xml:space="preserve"> The independently ingested raw data files were subjected to a rigorous cleaning and harmonization pipeline designed to consolidate a balanced, monthly-frequency panel dataset appropriate for the target analytical window. Due to the highly disparate original observation frequencies of the source components—ranging from daily financial market market closings to quarterly gross domestic product estimates—all arrays were programmatically resampled to a strict month-end reporting cadence. Point-in-time market gauges, such as continuous asset closing prices, central bank policy rates, and bond yield spreads, were registered using their final reported monthly trades to accurately freeze end-of-period conditions. To resolve the naturally staggered initiation dates of our constituent series, the preparation pipeline applied deliberate forward-filling techniques to accurately interpolate irregularly published data without inducing look-ahead bias. Critical structural integrity checks were applied, specifically surrounding nascent assets: Bitcoin’s historical matrices were algorithmically curtailed from the back-filling process prior to its active market inception around 2014, cleanly reflecting its structural absence during the early bounds of the sample period. This exhaustive process aligned all indicators along a singular chronological index extending structurally from February 2001 to the present, culminating in a pristine 168-month analysis cross-section strictly bound to our 2010–2024 primary review period. From this cleanly merged master table, we computed derived features, including month-over-month asset return percentages and rolling 3-period standard deviations that anchor our holistic multi-metric divergence measurements.</w:t>
      </w:r>
    </w:p>
    <w:p w14:paraId="1EF6D4B7" w14:textId="77777777" w:rsidR="009F0B0F" w:rsidRDefault="00B24ABA">
      <w:pPr>
        <w:spacing w:after="240"/>
      </w:pPr>
      <w:r>
        <w:rPr>
          <w:b/>
        </w:rPr>
        <w:t>Model Specifications.</w:t>
      </w:r>
      <w:r>
        <w:t xml:space="preserve"> To empirically identify the underlying macroscopic and monetary drivers of cross-asset price dispersion, we deployed a two-tiered econometric modeling strategy anchored primarily by a linear Fixed Effects (FE) panel regression and subsequently validated against non-linear machine learning ensemble architectures. The core causal identification relies heavily on a structured Ordinary Least Squares (OLS) calculation incorporating combined asset-level and chronological time-fixed effects. This method adeptly isolates the impact of dynamic macroeconomic forces by evaluating them strictly against historically informed, asset-specific sensitivity weights. This includes assigning theoretically sound rate-exposure mappings—such as placing heavy positive sensitivity on real estate components while applying defensive counter-cyclical weightings to gold futures. In our primary formulation, relative asset trajectories were empirically regressed on constructed policy-exposure metrics synthesized from the 12-month lagged effective Federal Funds Rate interacted closely with asset-specific rate sensitivities, alongside corresponding volatility exposure dimensions driven centrally by the VIX framework. We controlled rigorously for natural return inertia using rolling 1-month lags and 3-month momentum constructs. Diagnostic rigor was rigidly enforced by executing Breusch-Pagan homoskedasticity evaluations and anchoring our principal significance reporting on heteroskedasticity-robust clustered standard errors (versions HC0 through HC3). Finally, to guarantee that the specified linear parameters sufficiently enveloped the underlying operational framework, we introduced an independent non-linear model verification via Random Forest Regressor logic. By training an 80/20 structurally segregated time-series split using 500 decision tree estimators constrained strictly to an eight-node depth to combat overfitting, we systematically verified baseline OLS residual accuracy measures and Out-of-Sample test predictive ratios directly against algorithmic ensemble bounds—robustly substantiating the final conclusions generated by the linear structure.</w:t>
      </w:r>
    </w:p>
    <w:p w14:paraId="6559DC79" w14:textId="77777777" w:rsidR="009672B3" w:rsidRDefault="009672B3">
      <w:pPr>
        <w:spacing w:after="140"/>
      </w:pPr>
    </w:p>
    <w:sectPr w:rsidR="009672B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611C" w14:textId="77777777" w:rsidR="00B24ABA" w:rsidRDefault="00B24ABA" w:rsidP="00A06BD9">
      <w:r>
        <w:separator/>
      </w:r>
    </w:p>
  </w:endnote>
  <w:endnote w:type="continuationSeparator" w:id="0">
    <w:p w14:paraId="3B69814D" w14:textId="77777777" w:rsidR="00B24ABA" w:rsidRDefault="00B24ABA" w:rsidP="00A06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DF67" w14:textId="77777777" w:rsidR="00B24ABA" w:rsidRDefault="00B24ABA" w:rsidP="00A06BD9">
      <w:r>
        <w:separator/>
      </w:r>
    </w:p>
  </w:footnote>
  <w:footnote w:type="continuationSeparator" w:id="0">
    <w:p w14:paraId="6163BF6E" w14:textId="77777777" w:rsidR="00B24ABA" w:rsidRDefault="00B24ABA" w:rsidP="00A06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3451F"/>
    <w:multiLevelType w:val="hybridMultilevel"/>
    <w:tmpl w:val="DDD4B562"/>
    <w:lvl w:ilvl="0" w:tplc="213EADAE">
      <w:start w:val="1"/>
      <w:numFmt w:val="bullet"/>
      <w:lvlText w:val="●"/>
      <w:lvlJc w:val="left"/>
      <w:pPr>
        <w:ind w:left="720" w:hanging="360"/>
      </w:pPr>
    </w:lvl>
    <w:lvl w:ilvl="1" w:tplc="7280FB9C">
      <w:start w:val="1"/>
      <w:numFmt w:val="bullet"/>
      <w:lvlText w:val="○"/>
      <w:lvlJc w:val="left"/>
      <w:pPr>
        <w:ind w:left="1440" w:hanging="360"/>
      </w:pPr>
    </w:lvl>
    <w:lvl w:ilvl="2" w:tplc="37A6486C">
      <w:start w:val="1"/>
      <w:numFmt w:val="bullet"/>
      <w:lvlText w:val="■"/>
      <w:lvlJc w:val="left"/>
      <w:pPr>
        <w:ind w:left="2160" w:hanging="360"/>
      </w:pPr>
    </w:lvl>
    <w:lvl w:ilvl="3" w:tplc="B50E5DB0">
      <w:start w:val="1"/>
      <w:numFmt w:val="bullet"/>
      <w:lvlText w:val="●"/>
      <w:lvlJc w:val="left"/>
      <w:pPr>
        <w:ind w:left="2880" w:hanging="360"/>
      </w:pPr>
    </w:lvl>
    <w:lvl w:ilvl="4" w:tplc="C18EE92C">
      <w:start w:val="1"/>
      <w:numFmt w:val="bullet"/>
      <w:lvlText w:val="○"/>
      <w:lvlJc w:val="left"/>
      <w:pPr>
        <w:ind w:left="3600" w:hanging="360"/>
      </w:pPr>
    </w:lvl>
    <w:lvl w:ilvl="5" w:tplc="CCF0BBCA">
      <w:start w:val="1"/>
      <w:numFmt w:val="bullet"/>
      <w:lvlText w:val="■"/>
      <w:lvlJc w:val="left"/>
      <w:pPr>
        <w:ind w:left="4320" w:hanging="360"/>
      </w:pPr>
    </w:lvl>
    <w:lvl w:ilvl="6" w:tplc="C99AB1AE">
      <w:start w:val="1"/>
      <w:numFmt w:val="bullet"/>
      <w:lvlText w:val="●"/>
      <w:lvlJc w:val="left"/>
      <w:pPr>
        <w:ind w:left="5040" w:hanging="360"/>
      </w:pPr>
    </w:lvl>
    <w:lvl w:ilvl="7" w:tplc="E506926C">
      <w:start w:val="1"/>
      <w:numFmt w:val="bullet"/>
      <w:lvlText w:val="●"/>
      <w:lvlJc w:val="left"/>
      <w:pPr>
        <w:ind w:left="5760" w:hanging="360"/>
      </w:pPr>
    </w:lvl>
    <w:lvl w:ilvl="8" w:tplc="BE52E7E8">
      <w:start w:val="1"/>
      <w:numFmt w:val="bullet"/>
      <w:lvlText w:val="●"/>
      <w:lvlJc w:val="left"/>
      <w:pPr>
        <w:ind w:left="6480" w:hanging="360"/>
      </w:pPr>
    </w:lvl>
  </w:abstractNum>
  <w:num w:numId="1" w16cid:durableId="44373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2B3"/>
    <w:rsid w:val="00044406"/>
    <w:rsid w:val="002F2DDE"/>
    <w:rsid w:val="00343B90"/>
    <w:rsid w:val="0057355C"/>
    <w:rsid w:val="00655EEB"/>
    <w:rsid w:val="009672B3"/>
    <w:rsid w:val="009D1CF2"/>
    <w:rsid w:val="009F0B0F"/>
    <w:rsid w:val="00A06BD9"/>
    <w:rsid w:val="00A14390"/>
    <w:rsid w:val="00B24ABA"/>
    <w:rsid w:val="00C502E1"/>
    <w:rsid w:val="00D3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62AA"/>
  <w15:docId w15:val="{4772730F-D26C-4A61-818E-88045E5D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120"/>
      <w:outlineLvl w:val="0"/>
    </w:pPr>
    <w:rPr>
      <w:b/>
      <w:bCs/>
      <w:sz w:val="30"/>
      <w:szCs w:val="30"/>
    </w:rPr>
  </w:style>
  <w:style w:type="paragraph" w:styleId="Heading2">
    <w:name w:val="heading 2"/>
    <w:uiPriority w:val="9"/>
    <w:semiHidden/>
    <w:unhideWhenUsed/>
    <w:qFormat/>
    <w:pPr>
      <w:spacing w:before="16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6BD9"/>
    <w:pPr>
      <w:tabs>
        <w:tab w:val="center" w:pos="4680"/>
        <w:tab w:val="right" w:pos="9360"/>
      </w:tabs>
    </w:pPr>
  </w:style>
  <w:style w:type="character" w:customStyle="1" w:styleId="HeaderChar">
    <w:name w:val="Header Char"/>
    <w:basedOn w:val="DefaultParagraphFont"/>
    <w:link w:val="Header"/>
    <w:uiPriority w:val="99"/>
    <w:rsid w:val="00A06BD9"/>
  </w:style>
  <w:style w:type="paragraph" w:styleId="Footer">
    <w:name w:val="footer"/>
    <w:basedOn w:val="Normal"/>
    <w:link w:val="FooterChar"/>
    <w:uiPriority w:val="99"/>
    <w:unhideWhenUsed/>
    <w:rsid w:val="00A06BD9"/>
    <w:pPr>
      <w:tabs>
        <w:tab w:val="center" w:pos="4680"/>
        <w:tab w:val="right" w:pos="9360"/>
      </w:tabs>
    </w:pPr>
  </w:style>
  <w:style w:type="character" w:customStyle="1" w:styleId="FooterChar">
    <w:name w:val="Footer Char"/>
    <w:basedOn w:val="DefaultParagraphFont"/>
    <w:link w:val="Footer"/>
    <w:uiPriority w:val="99"/>
    <w:rsid w:val="00A06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4311D-10F1-40B4-B88F-C7FA9E779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Weber, Sam</cp:lastModifiedBy>
  <cp:revision>2</cp:revision>
  <dcterms:created xsi:type="dcterms:W3CDTF">2026-04-28T17:13:00Z</dcterms:created>
  <dcterms:modified xsi:type="dcterms:W3CDTF">2026-04-29T20:40:00Z</dcterms:modified>
</cp:coreProperties>
</file>