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Investment Memo</w:t>
      </w:r>
    </w:p>
    <w:p>
      <w:pPr>
        <w:jc w:val="center"/>
      </w:pPr>
      <w:r>
        <w:t xml:space="preserve">Energy Price Shocks and Inflation Pass-Through</w:t>
      </w:r>
    </w:p>
    <w:p>
      <w:pPr>
        <w:jc w:val="center"/>
      </w:pPr>
      <w:r>
        <w:t xml:space="preserve">April 27,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t xml:space="preserve">Estimated pass-through from gas import shocks to inflation is small and statistically insignificant in the baseline fixed-effects model.</w:t>
      </w:r>
    </w:p>
    <w:p>
      <w:pPr>
        <w:pStyle w:val="ListParagraph"/>
        <w:numPr>
          <w:ilvl w:val="0"/>
          <w:numId w:val="2"/>
        </w:numPr>
      </w:pPr>
      <w:r>
        <w:t xml:space="preserve">No robust evidence shows stronger pass-through in high-energy-dependence countries relative to low-dependence countries.</w:t>
      </w:r>
    </w:p>
    <w:p>
      <w:pPr>
        <w:pStyle w:val="ListParagraph"/>
        <w:numPr>
          <w:ilvl w:val="0"/>
          <w:numId w:val="2"/>
        </w:numPr>
      </w:pPr>
      <w:r>
        <w:t xml:space="preserve">Robustness checks across lags, subsamples, and a placebo DiD confirm the weak and imprecise effects.</w:t>
      </w:r>
    </w:p>
    <w:p>
      <w:pPr>
        <w:pStyle w:val="ListParagraph"/>
        <w:numPr>
          <w:ilvl w:val="0"/>
          <w:numId w:val="2"/>
        </w:numPr>
      </w:pPr>
      <w:r>
        <w:t xml:space="preserve">Key limitations include using gas-import growth as a proxy for price shocks and annual inflation aggregation that can mute short-run effects.</w:t>
      </w:r>
    </w:p>
    <w:p>
      <w:pPr>
        <w:pStyle w:val="Heading1"/>
      </w:pPr>
      <w:r>
        <w:t xml:space="preserve">Research Question and Hypotheses</w:t>
      </w:r>
    </w:p>
    <w:p>
      <w:r>
        <w:t xml:space="preserve">Research question: How strongly do oil and gas price shocks pass through to consumer inflation, and does pass-through differ between high- and low-energy-dependence countries?</w:t>
      </w:r>
    </w:p>
    <w:p>
      <w:r>
        <w:t xml:space="preserve">Core hypotheses: (1) positive shocks increase inflation, (2) pass-through is stronger in high-dependence countries, (3) pass-through may be asymmetric for positive versus negative shocks.</w:t>
      </w:r>
    </w:p>
    <w:p>
      <w:pPr>
        <w:pStyle w:val="Heading1"/>
      </w:pPr>
      <w:r>
        <w:t xml:space="preserve">Data and Method</w:t>
      </w:r>
    </w:p>
    <w:p>
      <w:pPr>
        <w:pStyle w:val="ListParagraph"/>
        <w:numPr>
          <w:ilvl w:val="0"/>
          <w:numId w:val="2"/>
        </w:numPr>
      </w:pPr>
      <w:r>
        <w:t xml:space="preserve">Panel combining JODI energy flows and WDI macro indicators with country and year fixed effects.</w:t>
      </w:r>
    </w:p>
    <w:p>
      <w:pPr>
        <w:pStyle w:val="ListParagraph"/>
        <w:numPr>
          <w:ilvl w:val="0"/>
          <w:numId w:val="2"/>
        </w:numPr>
      </w:pPr>
      <w:r>
        <w:t xml:space="preserve">Shock proxy: lagged gas-import growth; interaction with a high-energy-dependence indicator.</w:t>
      </w:r>
    </w:p>
    <w:p>
      <w:pPr>
        <w:pStyle w:val="ListParagraph"/>
        <w:numPr>
          <w:ilvl w:val="0"/>
          <w:numId w:val="2"/>
        </w:numPr>
      </w:pPr>
      <w:r>
        <w:t xml:space="preserve">Model A: two-way fixed effects; Model B: DiD with post-2022 treatment for high-dependence countries.</w:t>
      </w:r>
    </w:p>
    <w:p>
      <w:pPr>
        <w:pStyle w:val="Heading1"/>
      </w:pPr>
      <w:r>
        <w:t xml:space="preserve">Key Findings</w:t>
      </w:r>
    </w:p>
    <w:p>
      <w:r>
        <w:t xml:space="preserve">Baseline coefficients (annual inflation percentage points):</w:t>
      </w:r>
    </w:p>
    <w:p>
      <w:pPr>
        <w:pStyle w:val="ListParagraph"/>
        <w:numPr>
          <w:ilvl w:val="0"/>
          <w:numId w:val="2"/>
        </w:numPr>
      </w:pPr>
      <w:r>
        <w:t xml:space="preserve">Lagged gas-import shock: -0.0001 (p = 0.887).</w:t>
      </w:r>
    </w:p>
    <w:p>
      <w:pPr>
        <w:pStyle w:val="ListParagraph"/>
        <w:numPr>
          <w:ilvl w:val="0"/>
          <w:numId w:val="2"/>
        </w:numPr>
      </w:pPr>
      <w:r>
        <w:t xml:space="preserve">Shock x high-dependence interaction: -0.0005 (p = 0.596).</w:t>
      </w:r>
    </w:p>
    <w:p>
      <w:pPr>
        <w:pStyle w:val="ListParagraph"/>
        <w:numPr>
          <w:ilvl w:val="0"/>
          <w:numId w:val="2"/>
        </w:numPr>
      </w:pPr>
      <w:r>
        <w:t xml:space="preserve">DiD interaction (post-2022 x high dependence): -0.2502 (p = 0.811).</w:t>
      </w:r>
    </w:p>
    <w:p>
      <w:r>
        <w:t xml:space="preserve">Robustness checks across alternative lags, exclusion of 2020, and subsamples yielded similarly small, insignificant effects.</w:t>
      </w:r>
    </w:p>
    <w:p>
      <w:pPr>
        <w:pStyle w:val="Heading1"/>
      </w:pPr>
      <w:r>
        <w:t xml:space="preserve">Interpretation vs Hypotheses</w:t>
      </w:r>
    </w:p>
    <w:p>
      <w:pPr>
        <w:pStyle w:val="ListParagraph"/>
        <w:numPr>
          <w:ilvl w:val="0"/>
          <w:numId w:val="2"/>
        </w:numPr>
      </w:pPr>
      <w:r>
        <w:t xml:space="preserve">Hypothesis 1 (positive pass-through): not supported by statistically significant evidence; estimated effect is near zero.</w:t>
      </w:r>
    </w:p>
    <w:p>
      <w:pPr>
        <w:pStyle w:val="ListParagraph"/>
        <w:numPr>
          <w:ilvl w:val="0"/>
          <w:numId w:val="2"/>
        </w:numPr>
      </w:pPr>
      <w:r>
        <w:t xml:space="preserve">Hypothesis 2 (stronger in high dependence): not supported; interaction is negative and insignificant.</w:t>
      </w:r>
    </w:p>
    <w:p>
      <w:pPr>
        <w:pStyle w:val="ListParagraph"/>
        <w:numPr>
          <w:ilvl w:val="0"/>
          <w:numId w:val="2"/>
        </w:numPr>
      </w:pPr>
      <w:r>
        <w:t xml:space="preserve">Hypothesis 3 (asymmetry): not tested in this baseline and remains an open extension.</w:t>
      </w:r>
    </w:p>
    <w:p>
      <w:pPr>
        <w:pStyle w:val="Heading1"/>
      </w:pPr>
      <w:r>
        <w:t xml:space="preserve">Risks and Limitations</w:t>
      </w:r>
    </w:p>
    <w:p>
      <w:pPr>
        <w:pStyle w:val="ListParagraph"/>
        <w:numPr>
          <w:ilvl w:val="0"/>
          <w:numId w:val="2"/>
        </w:numPr>
      </w:pPr>
      <w:r>
        <w:t xml:space="preserve">Shock proxy is based on import growth rather than a direct global oil or gas price series.</w:t>
      </w:r>
    </w:p>
    <w:p>
      <w:pPr>
        <w:pStyle w:val="ListParagraph"/>
        <w:numPr>
          <w:ilvl w:val="0"/>
          <w:numId w:val="2"/>
        </w:numPr>
      </w:pPr>
      <w:r>
        <w:t xml:space="preserve">Annual inflation and aggregated energy flows can attenuate short-run pass-through.</w:t>
      </w:r>
    </w:p>
    <w:p>
      <w:pPr>
        <w:pStyle w:val="ListParagraph"/>
        <w:numPr>
          <w:ilvl w:val="0"/>
          <w:numId w:val="2"/>
        </w:numPr>
      </w:pPr>
      <w:r>
        <w:t xml:space="preserve">Remaining omitted-variable risks include monetary policy, exchange rates, and stabilization responses.</w:t>
      </w:r>
    </w:p>
    <w:p>
      <w:pPr>
        <w:pStyle w:val="Heading1"/>
      </w:pPr>
      <w:r>
        <w:t xml:space="preserve">Recommendations and Next Steps</w:t>
      </w:r>
    </w:p>
    <w:p>
      <w:pPr>
        <w:pStyle w:val="ListParagraph"/>
        <w:numPr>
          <w:ilvl w:val="0"/>
          <w:numId w:val="2"/>
        </w:numPr>
      </w:pPr>
      <w:r>
        <w:t xml:space="preserve">Test with a direct price series (e.g., Brent or global gas index) for a sharper shock measure.</w:t>
      </w:r>
    </w:p>
    <w:p>
      <w:pPr>
        <w:pStyle w:val="ListParagraph"/>
        <w:numPr>
          <w:ilvl w:val="0"/>
          <w:numId w:val="2"/>
        </w:numPr>
      </w:pPr>
      <w:r>
        <w:t xml:space="preserve">Use higher-frequency inflation where available to capture short-run dynamics.</w:t>
      </w:r>
    </w:p>
    <w:p>
      <w:pPr>
        <w:pStyle w:val="ListParagraph"/>
        <w:numPr>
          <w:ilvl w:val="0"/>
          <w:numId w:val="2"/>
        </w:numPr>
      </w:pPr>
      <w:r>
        <w:t xml:space="preserve">Estimate asymmetric effects by separating positive and negative shocks.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2026-04-27T20:41:11.278Z</dcterms:created>
  <dcterms:modified xsi:type="dcterms:W3CDTF">2026-04-27T20:41:11.278Z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