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color w:val="000000"/>
          <w:sz w:val="28"/>
        </w:rPr>
        <w:t>CHAPTER ONE</w:t>
      </w:r>
    </w:p>
    <w:p>
      <w:pPr>
        <w:pStyle w:val="Heading1"/>
        <w:jc w:val="center"/>
      </w:pPr>
      <w:r>
        <w:rPr>
          <w:rFonts w:ascii="Times New Roman" w:hAnsi="Times New Roman" w:eastAsia="Times New Roman"/>
          <w:color w:val="000000"/>
          <w:sz w:val="28"/>
        </w:rPr>
        <w:t>LITERATURE REVIEW</w:t>
      </w:r>
    </w:p>
    <w:p>
      <w:pPr>
        <w:pStyle w:val="Heading2"/>
        <w:jc w:val="both"/>
      </w:pPr>
      <w:r>
        <w:rPr>
          <w:rFonts w:ascii="Times New Roman" w:hAnsi="Times New Roman" w:eastAsia="Times New Roman"/>
          <w:color w:val="000000"/>
          <w:sz w:val="24"/>
        </w:rPr>
        <w:t>1.1 Human Female Reproductive System</w:t>
      </w:r>
    </w:p>
    <w:p>
      <w:pPr>
        <w:spacing w:line="360" w:lineRule="auto" w:after="0"/>
        <w:jc w:val="both"/>
      </w:pPr>
      <w:r>
        <w:rPr>
          <w:rFonts w:ascii="Times New Roman" w:hAnsi="Times New Roman" w:eastAsia="Times New Roman"/>
          <w:color w:val="000000"/>
          <w:sz w:val="24"/>
        </w:rPr>
        <w:t xml:space="preserve">The human female reproductive system is a profoundly complex and highly specialized network of interconnected anatomical structures, meticulously designed by evolution to facilitate sexual reproduction, gametogenesis, fertilization, and the successful gestation of a developing fetus (Speroff &amp; Fritz, 2020). Anatomically, this system is broadly categorized into the external genitalia, collectively termed the vulva, and the internal reproductive organs, which reside primarily within the protective confines of the true pelvic cavity. The external genitalia, comprising the mons pubis, labia majora, labia minora, clitoris, vestibular bulbs, and the greater vestibular (Bartholin’s) glands, primarily function to protect the delicate internal reproductive tract from pathogenic invasion and to facilitate sensory reception during copulation. The internal reproductive organs, which are the primary focus of gynecological and obstetric pharmacology, include the vagina, uterus, fallopian tubes (oviducts), and ovaries (Ingram &amp; Goddard, 2020). </w:t>
      </w:r>
    </w:p>
    <w:p>
      <w:pPr>
        <w:spacing w:line="360" w:lineRule="auto" w:after="0"/>
        <w:jc w:val="both"/>
      </w:pPr>
      <w:r>
        <w:rPr>
          <w:rFonts w:ascii="Times New Roman" w:hAnsi="Times New Roman" w:eastAsia="Times New Roman"/>
          <w:color w:val="000000"/>
          <w:sz w:val="24"/>
        </w:rPr>
        <w:t>The vagina acts as the fundamental fibromuscular conduit connecting the external environment to the internal reproductive organs. Lined with non-keratinized stratified squamous epithelium, it serves the tripartite functions of acting as the receptacle for seminal fluid during coitus, serving as the egress route for menstrual effluent, and expanding to form the terminal portion of the birth canal during parturition (Speroff &amp; Fritz, 2020). Immediately superior to the vaginal vault lies the uterus, a robust, pear-shaped muscular organ that occupies a central position within the pelvic cavity, situated precisely between the urinary bladder anteriorly and the rectum posteriorly. The uterus is the primary anatomical site for the implantation of a fertilized blastocyst and provides the critical mechanical and nutritional environment necessary for fetal development (Ingram &amp; Goddard, 2020). Extending laterally from the superior cornua of the uterus are the paired fallopian tubes. These highly specialized, ciliated tubular structures possess finger-like projections called fimbriae at their distal ends, which actively sweep the surface of the ovaries to capture the ovulated secondary oocyte. The fallopian tubes not only transport the oocyte toward the uterine cavity but also provide the optimal microenvironment for spermatozoa capacitation and subsequent fertilization, which typically occurs within the ampullary region of the tube.</w:t>
      </w:r>
    </w:p>
    <w:p>
      <w:pPr>
        <w:spacing w:line="360" w:lineRule="auto" w:after="0"/>
        <w:jc w:val="both"/>
      </w:pPr>
      <w:r>
        <w:rPr>
          <w:rFonts w:ascii="Times New Roman" w:hAnsi="Times New Roman" w:eastAsia="Times New Roman"/>
          <w:color w:val="000000"/>
          <w:sz w:val="24"/>
        </w:rPr>
        <w:t xml:space="preserve">The paired ovaries, the primary female gonads, are small, almond-shaped endocrine glands tethered to the lateral pelvic walls and the posterior aspect of the broad ligament via the suspensory and ovarian ligaments, respectively (Ingram &amp; Goddard, 2020). The ovaries are entrusted with two indispensable physiological mandates: oogenesis (the cyclical maturation and release of ova) and steroidogenesis (the synthesis and systemic secretion of key reproductive hormones, predominantly estrogens and progesterone). The functional orchestration of the entire female reproductive system is intrinsically reliant on the Hypothalamic-Pituitary-Ovarian (HPO) axis, a sophisticated, self-regulating neuroendocrine feedback loop (Itriyeva, 2022). The hypothalamus, acting as the central regulatory pacemaker, secretes gonadotropin-releasing hormone (GnRH) in a strictly pulsatile manner. This pulsatile secretion is absolutely critical, as continuous GnRH exposure leads to receptor downregulation and cessation of gonadal function. GnRH travels via the hypophyseal portal system to the anterior pituitary gland, stimulating the synthesis and episodic release of two critical glycoprotein gonadotropins: follicle-stimulating hormone (FSH) and luteinizing hormone (LH) (Itriyeva, 2022). </w:t>
      </w:r>
    </w:p>
    <w:p>
      <w:pPr>
        <w:spacing w:line="360" w:lineRule="auto" w:after="0"/>
        <w:jc w:val="both"/>
      </w:pPr>
      <w:r>
        <w:rPr>
          <w:rFonts w:ascii="Times New Roman" w:hAnsi="Times New Roman" w:eastAsia="Times New Roman"/>
          <w:color w:val="000000"/>
          <w:sz w:val="24"/>
        </w:rPr>
        <w:t xml:space="preserve">FSH primarily targets the granulosa cells of the developing ovarian follicles, stimulating their growth and upregulating the aromatase enzyme, which catalyzes the conversion of thecal androgens into estradiol (Speroff &amp; Fritz, 2020). As circulating estradiol levels rise, they exert a negative feedback effect on FSH secretion while simultaneously priming the pituitary for a massive surge of LH. This LH surge is the absolute prerequisite biological trigger for ovulation—the mechanical rupture of the dominant graafian follicle and the expulsion of the oocyte. Following ovulation, LH induces the luteinization of the remaining granulosa and theca cells, transforming the ruptured follicle into the corpus luteum (Itriyeva, 2022). The corpus luteum then becomes a temporary, yet highly active, endocrine gland, secreting copious amounts of progesterone alongside estrogen. Progesterone is the definitive hormone of pregnancy maintenance; its primary physiological role is to act upon the estrogen-primed uterine endometrium, transforming it into a highly vascularized, secretory, and nutrient-rich mucosal bed optimally prepared for embryonic implantation (Ingram &amp; Goddard, 2020). Furthermore, progesterone exerts a potent tocolytic effect on the uterine myometrium, drastically reducing smooth muscle excitability and preventing premature contractions that could expel a developing conceptus. </w:t>
      </w:r>
    </w:p>
    <w:p>
      <w:pPr>
        <w:spacing w:line="360" w:lineRule="auto" w:after="0"/>
        <w:jc w:val="both"/>
      </w:pPr>
      <w:r>
        <w:rPr>
          <w:rFonts w:ascii="Times New Roman" w:hAnsi="Times New Roman" w:eastAsia="Times New Roman"/>
          <w:color w:val="000000"/>
          <w:sz w:val="24"/>
        </w:rPr>
        <w:t>The intricate balance of the HPO axis is highly sensitive to both endogenous and exogenous perturbations. Modulations in stress hormones, nutritional status, adipose tissue volume, and exogenous pharmacological agents can significantly disrupt this feedback loop, leading to a wide spectrum of anovulatory disorders, menstrual irregularities, and pathological states (Itriyeva, 2022). Understanding the fundamental neuroendocrinology and structural anatomy of the female reproductive system is paramount for investigating gynecological pathologies, particularly primary dysmenorrhea. In dysmenorrhea, the regular physiological processes governed by the HPO axis—specifically the cyclical withdrawal of estrogen and progesterone at the culmination of an infertile cycle—trigger a cascade of extreme local inflammatory mediators within the uterus, transforming the normal shedding of the endometrium into a profoundly painful, hypercontractile pathological event (Dawood, 2006).</w:t>
      </w:r>
    </w:p>
    <w:p>
      <w:pPr>
        <w:pStyle w:val="Heading2"/>
        <w:jc w:val="both"/>
      </w:pPr>
      <w:r>
        <w:rPr>
          <w:rFonts w:ascii="Times New Roman" w:hAnsi="Times New Roman" w:eastAsia="Times New Roman"/>
          <w:color w:val="000000"/>
          <w:sz w:val="24"/>
        </w:rPr>
        <w:t>1.2 The Human Uterus</w:t>
      </w:r>
    </w:p>
    <w:p>
      <w:pPr>
        <w:spacing w:line="360" w:lineRule="auto" w:after="0"/>
        <w:jc w:val="both"/>
      </w:pPr>
      <w:r>
        <w:rPr>
          <w:rFonts w:ascii="Times New Roman" w:hAnsi="Times New Roman" w:eastAsia="Times New Roman"/>
          <w:color w:val="000000"/>
          <w:sz w:val="24"/>
        </w:rPr>
        <w:t>The human uterus is an extraordinarily dynamic, thick-walled, highly muscular organ that serves as the mechanical and physiological epicenter of the female reproductive system (Speroff &amp; Fritz, 2020). Anatomically situated within the lesser pelvis, the non-gravid uterus typically measures approximately 7.5 centimeters in length, 5 centimeters in width, and 2.5 centimeters in thickness, though these dimensions undergo massive, unprecedented physiological hypertrophy and hyperplasia during pregnancy, enabling the organ to accommodate a full-term fetus. The uterus is grossly divided into three distinct anatomical segments: the fundus, the body (or corpus), and the cervix (Ingram &amp; Goddard, 2020). The fundus is the broad, dome-shaped superior portion located above the imaginary line drawn between the entry points of the paired fallopian tubes. The body constitutes the major, central portion of the organ, tapering inferiorly towards the uterine isthmus. The cervix is the narrow, cylindrical inferior segment that projects directly into the superior vault of the vaginal canal, acting as a critical biochemical and mechanical barrier between the external environment and the sterile upper reproductive tract. The structural orientation of the uterus within the pelvic cavity is meticulously maintained by a complex network of fascial condensations and true ligaments, most notably the broad ligaments, uterosacral ligaments, cardinal (transverse cervical) ligaments, and the round ligaments, which collectively ensure the organ remains in its typical anteverted and anteflexed position, resting anteriorly over the superior surface of the urinary bladder (Speroff &amp; Fritz, 2020).</w:t>
      </w:r>
    </w:p>
    <w:p>
      <w:pPr>
        <w:spacing w:line="360" w:lineRule="auto" w:after="0"/>
        <w:jc w:val="both"/>
      </w:pPr>
      <w:r>
        <w:rPr>
          <w:rFonts w:ascii="Times New Roman" w:hAnsi="Times New Roman" w:eastAsia="Times New Roman"/>
          <w:color w:val="000000"/>
          <w:sz w:val="24"/>
        </w:rPr>
        <w:t>Histologically and functionally, the uterine wall is an architectural marvel, distinctly stratified into three specialized layers: the perimetrium, the myometrium, and the endometrium. The perimetrium, the outermost layer, is a thin, delicate serous membrane derived directly from the visceral peritoneum. It forms the external physical boundary of the uterus, producing a small volume of serous fluid that reduces mechanical friction with adjacent pelvic and abdominal viscera during physiological movements, respiration, and gastrointestinal peristalsis. Beneath the perimetrium lies the myometrium, which constitutes the overwhelming bulk of the uterine wall and represents one of the most powerful and specialized smooth muscle tissues in the human body (Raskin &amp; O'Brien, 2022). Unlike typical gastrointestinal smooth muscle, the myometrium is uniquely structured to generate multidirectional, coordinated, and massive contractile forces. It is composed of three interconnected sub-layers of smooth muscle fibers. The outer layer consists primarily of longitudinal fibers that are continuous with the musculature of the fallopian tubes and the round ligaments. The thick, prominent middle layer is highly vascularized and features a dense, complex, figure-of-eight or "plexiform" arrangement of muscle fibers (Raskin &amp; O'Brien, 2022). This specific structural geometry is functionally critical; during uterine contractions, particularly postpartum, these interlacing fibers act as living ligatures, forcefully constricting the penetrating blood vessels to achieve rapid hemostasis and prevent fatal hemorrhagic shock following the detachment of the placenta. The innermost myometrial layer consists predominantly of circular and longitudinally oriented fibers that interface directly with the basal layer of the endometrium (Lee &amp; Park, 2022).</w:t>
      </w:r>
    </w:p>
    <w:p>
      <w:pPr>
        <w:spacing w:line="360" w:lineRule="auto" w:after="0"/>
        <w:jc w:val="both"/>
      </w:pPr>
      <w:r>
        <w:rPr>
          <w:rFonts w:ascii="Times New Roman" w:hAnsi="Times New Roman" w:eastAsia="Times New Roman"/>
          <w:color w:val="000000"/>
          <w:sz w:val="24"/>
        </w:rPr>
        <w:t xml:space="preserve">The endometrium is the innermost, highly dynamic mucosal lining of the uterine cavity, characterized by simple columnar epithelium underlain by a thick, highly cellular, vascular stroma containing numerous simple tubular glands (Ingram &amp; Goddard, 2020). Functionally, the endometrium is subdivided into two distinct zones: the deep stratum basalis and the superficial stratum functionalis. The stratum basalis is the permanent, highly vascularized foundational layer adjacent to the myometrium. It remains largely unresponsive to cyclical fluctuations in ovarian hormones and serves as the definitive regenerative source from which a new functional layer is synthesized after each menstruation. In stark contrast, the stratum functionalis is the transient, hormonally responsive layer that lines the uterine lumen (Itriyeva, 2022). Over the course of the typical 28-day menstrual cycle, the stratum functionalis undergoes dramatic, continuous histological transformations. Driven by rising estrogen levels during the follicular phase, it proliferates rapidly, vastly expanding its stromal matrix, elongating its tubular glands, and developing a highly specialized microvascular network of spiral arterioles. Following ovulation, under the synergistic influence of both estrogen and progesterone, the stratum functionalis transforms into a lush, glycogen-rich secretory environment perfectly optimized to support the implantation and initial nourishment of a developing blastocyst (Speroff &amp; Fritz, 2020). </w:t>
      </w:r>
    </w:p>
    <w:p>
      <w:pPr>
        <w:spacing w:line="360" w:lineRule="auto" w:after="0"/>
        <w:jc w:val="both"/>
      </w:pPr>
      <w:r>
        <w:rPr>
          <w:rFonts w:ascii="Times New Roman" w:hAnsi="Times New Roman" w:eastAsia="Times New Roman"/>
          <w:color w:val="000000"/>
          <w:sz w:val="24"/>
        </w:rPr>
        <w:t>The vascular architecture supplying the uterus is of profound clinical relevance, particularly concerning the pathophysiology of dysmenorrhea. The primary blood supply originates from the paired uterine arteries, branches of the internal iliac arteries, which ascend along the lateral margins of the uterus within the broad ligament. These arteries give rise to arcuate arteries that deeply penetrate and encircle the myometrium. The arcuate arteries subsequently branch into radial arteries, which project directly inward toward the endometrium (Altunyurt et al., 2005). As the radial arteries cross the myometrial-endometrial junction, they bifurcate into two distinct vascular systems: the straight arterioles, which exclusively supply the permanent stratum basalis, and the highly coiled spiral arterioles, which extend outward to supply the dynamic stratum functionalis. It is the extreme sensitivity of these specific spiral arterioles to endogenous vasoactive mediators, particularly prostaglandins, that sets the stage for menstruation (Su &amp; Chen, 2022). When pregnancy fails to occur, the abrupt systemic withdrawal of estrogen and progesterone triggers the intense, sustained vasoconstriction of these spiral arterioles. This profound, localized vasospasm leads to severe tissue ischemia, the eventual rupture of the vessel walls, and the subsequent necrotic sloughing of the stratum functionalis. In primary dysmenorrhea, the excessive production of these same vasoactive prostaglandins fundamentally hijacks this physiological process, inducing not only severe vascular ischemia but also generating dysrhythmic, hypertonic contractions within the massive underlying myometrial muscle bed, culminating in severe, debilitating pelvic pain (Altunyurt et al., 2005; Su &amp; Chen, 2022).</w:t>
      </w:r>
    </w:p>
    <w:p>
      <w:pPr>
        <w:pStyle w:val="Heading2"/>
        <w:jc w:val="both"/>
      </w:pPr>
      <w:r>
        <w:rPr>
          <w:rFonts w:ascii="Times New Roman" w:hAnsi="Times New Roman" w:eastAsia="Times New Roman"/>
          <w:color w:val="000000"/>
          <w:sz w:val="24"/>
        </w:rPr>
        <w:t>1.3 The Ovarian and Endometrial Cycle</w:t>
      </w:r>
    </w:p>
    <w:p>
      <w:pPr>
        <w:spacing w:line="360" w:lineRule="auto" w:after="0"/>
        <w:jc w:val="both"/>
      </w:pPr>
      <w:r>
        <w:rPr>
          <w:rFonts w:ascii="Times New Roman" w:hAnsi="Times New Roman" w:eastAsia="Times New Roman"/>
          <w:color w:val="000000"/>
          <w:sz w:val="24"/>
        </w:rPr>
        <w:t>The human female reproductive cycle is an intricate, highly synchronized, and continuous physiological loop designed to prepare the female body for the possibility of conception and pregnancy on a monthly basis. This continuous process, typically averaging 28 days in duration, encompasses two simultaneous and deeply interconnected sub-cycles: the ovarian cycle, detailing the maturation and release of an oocyte, and the endometrial cycle, dictating the cyclical preparation, maintenance, and shedding of the uterine mucosa (Ingram &amp; Goddard, 2020). These parallel cycles are rigorously governed by an elaborate neuroendocrine feedback mechanism involving the hypothalamus, the anterior pituitary gland, and the ovaries, acting sequentially to drive the morphological and functional changes required for human reproduction (Itriyeva, 2022).</w:t>
      </w:r>
    </w:p>
    <w:p>
      <w:pPr>
        <w:spacing w:line="360" w:lineRule="auto" w:after="0"/>
        <w:jc w:val="both"/>
      </w:pPr>
      <w:r>
        <w:rPr>
          <w:rFonts w:ascii="Times New Roman" w:hAnsi="Times New Roman" w:eastAsia="Times New Roman"/>
          <w:color w:val="000000"/>
          <w:sz w:val="24"/>
        </w:rPr>
        <w:t xml:space="preserve">The ovarian cycle is physiologically demarcated into three distinct phases: the follicular phase, ovulation, and the luteal phase. The cycle commences on the first day of menstrual bleeding, marking the beginning of the follicular phase. At this juncture, the hypothalamus initiates the pulsatile release of gonadotropin-releasing hormone (GnRH), which in turn stimulates the anterior pituitary to secrete follicle-stimulating hormone (FSH) and, to a lesser extent, luteinizing hormone (LH) (Speroff &amp; Fritz, 2020). The rising titer of FSH acts directly on the ovaries, rescuing a cohort of primordial follicles from atresia and stimulating their growth into primary, and subsequently secondary, follicles. As these follicles enlarge, their surrounding granulosa and theca cells begin to rapidly synthesize and secrete estrogens, primarily in the form of estradiol. Through a complex process of selection, typically only a single follicle outpaces the others in growth and estrogen production, eventually achieving dominance to become the mature graafian follicle, while the remaining subordinate follicles undergo apoptosis and atresia (Itriyeva, 2022). As the dominant follicle matures over the approximately 14-day follicular phase, its estrogen secretion increases exponentially. Once systemic estradiol levels reach a critical, sustained threshold, the standard negative feedback loop on the anterior pituitary paradoxically reverses into a powerful positive feedback mechanism. This biological switch triggers a massive, sudden surge in the secretion of luteinizing hormone (LH)—the defining neuroendocrine event of the ovarian cycle. This LH surge acts as an acute, essential trigger, culminating approximately 24 to 36 hours later in ovulation, the mechanical rupture of the graafian follicle wall and the expulsion of the secondary oocyte into the peritoneal cavity, where it is swiftly captured by the fimbriae of the fallopian tube (Ingram &amp; Goddard, 2020). </w:t>
      </w:r>
    </w:p>
    <w:p>
      <w:pPr>
        <w:spacing w:line="360" w:lineRule="auto" w:after="0"/>
        <w:jc w:val="both"/>
      </w:pPr>
      <w:r>
        <w:rPr>
          <w:rFonts w:ascii="Times New Roman" w:hAnsi="Times New Roman" w:eastAsia="Times New Roman"/>
          <w:color w:val="000000"/>
          <w:sz w:val="24"/>
        </w:rPr>
        <w:t>Following ovulation, the ovarian cycle immediately enters the luteal phase. Driven by the continued, albeit lower, presence of LH, the structural remnants of the ruptured follicle rapidly undergo massive hypertrophy and lipid accumulation, reorganizing into a highly vascularized, transient endocrine structure known as the corpus luteum (Itriyeva, 2022). The corpus luteum fundamentally shifts the hormonal landscape, secreting massive quantities of progesterone alongside moderate amounts of estrogen and inhibin. These elevated circulating levels of progesterone and estrogen exert profound negative feedback on the hypothalamus and anterior pituitary, effectively suppressing further GnRH, FSH, and LH secretion, thereby preventing the development of any new follicles during the luteal phase. The primary physiological mandate of the corpus luteum is to support the uterine environment for a potential pregnancy. If the oocyte is fertilized and successfully implants into the uterine wall, the developing chorion of the embryo will begin secreting human chorionic gonadotropin (hCG), a hormone structurally and functionally analogous to LH. hCG rescues the corpus luteum from degeneration, ensuring the continuous, vital supply of progesterone required to maintain the pregnancy until the placenta is sufficiently developed to assume this endocrine function by the second trimester (Speroff &amp; Fritz, 2020). Conversely, if fertilization and implantation do not occur, the absence of hCG leaves the corpus luteum without trophic support. Deprived of stimulation, the corpus luteum maintains its secretory activity for precisely 12 to 14 days before undergoing spontaneous, programmed involution, transforming into a fibrous, non-functional scar tissue known as the corpus albicans. This involution results in an abrupt, precipitous decline in circulating progesterone and estrogen levels, signaling the end of the ovarian cycle and simultaneously triggering the dramatic events that conclude the endometrial cycle.</w:t>
      </w:r>
    </w:p>
    <w:p>
      <w:pPr>
        <w:spacing w:line="360" w:lineRule="auto" w:after="0"/>
        <w:jc w:val="both"/>
      </w:pPr>
      <w:r>
        <w:rPr>
          <w:rFonts w:ascii="Times New Roman" w:hAnsi="Times New Roman" w:eastAsia="Times New Roman"/>
          <w:color w:val="000000"/>
          <w:sz w:val="24"/>
        </w:rPr>
        <w:t xml:space="preserve">Operating in absolute synchrony with the ovaries, the endometrial cycle represents the target tissue response to fluctuating ovarian steroids and is subdivided into three distinct phases: the menstrual phase, the proliferative phase, and the secretory phase (Ingram &amp; Goddard, 2020). The cycle begins with the menstrual phase, characterized by the active desquamation of the stratum functionalis of the endometrium, clinically manifesting as menstrual bleeding. Following menstruation, the proliferative phase commences, running concurrently with the ovarian follicular phase. Driven entirely by the rising levels of estradiol secreted by the developing ovarian follicles, the remaining stratum basalis initiates massive cellular proliferation. The stromal cells multiply rapidly, the endometrial glands elongate substantially, and a highly specialized network of spiral arterioles regenerates, extending upward into the newly forming tissue. By the time of ovulation, the endometrium has thickened by several millimeters, transitioning into a highly cellular, estrogen-primed state (Itriyeva, 2022). </w:t>
      </w:r>
    </w:p>
    <w:p>
      <w:pPr>
        <w:spacing w:line="360" w:lineRule="auto" w:after="0"/>
        <w:jc w:val="both"/>
      </w:pPr>
      <w:r>
        <w:rPr>
          <w:rFonts w:ascii="Times New Roman" w:hAnsi="Times New Roman" w:eastAsia="Times New Roman"/>
          <w:color w:val="000000"/>
          <w:sz w:val="24"/>
        </w:rPr>
        <w:t>Immediately following ovulation, the endometrial cycle seamlessly transitions into the secretory phase, heavily governed by the surging progesterone levels originating from the newly formed corpus luteum. Progesterone acts upon the estrogen-primed endometrium, halting further cellular proliferation and inducing profound functional differentiation. The endometrial glands become highly tortuous, actively synthesizing and secreting glycogen, lipids, and various proteins essential for nourishing a potential embryo prior to vascular implantation. The spiral arterioles become extensively coiled and engorged with blood, creating an optimal, nutrient-dense, and highly receptive mucosal environment (Speroff &amp; Fritz, 2020). However, when conception fails, the programmed demise of the corpus luteum leads to a sudden, dramatic withdrawal of both progesterone and estrogen support. This abrupt endocrine deprivation is the fundamental pathophysiological trigger for menstruation. The loss of steroidal support destabilizes the lysosomal membranes within the endometrial cells, releasing phospholipase A2 and initiating the arachidonic acid cascade (Wang et al., 2021). This results in the massive, localized synthesis and accumulation of vasoactive inflammatory mediators, predominantly prostaglandin F2-alpha (PGF2α) and prostaglandin E2 (PGE2) (Pahwa &amp; Jialal, 2021). High concentrations of PGF2α exert a direct, profound vasoconstrictive effect on the specialized spiral arterioles, inducing rapid and severe ischemia within the stratum functionalis. Prolonged ischemia inevitably leads to cellular hypoxia, autolysis, and widespread tissue necrosis (Dawood, 2006). Furthermore, the massive efflux of prostaglandins into the underlying myometrium triggers powerful, dysrhythmic uterine contractions designed to mechanically expel the necrotic tissue and accumulated blood. While these contractions are a normal physiological requirement for menstruation, an exaggerated pathological overproduction of these exact same prostaglandins leads to sustained myometrial hypercontractility, severe uterine ischemia, and the intense, debilitating pain clinically defined as primary dysmenorrhea (Iacovides et al., 2015).</w:t>
      </w:r>
    </w:p>
    <w:p>
      <w:pPr>
        <w:pStyle w:val="Heading2"/>
        <w:jc w:val="both"/>
      </w:pPr>
      <w:r>
        <w:rPr>
          <w:rFonts w:ascii="Times New Roman" w:hAnsi="Times New Roman" w:eastAsia="Times New Roman"/>
          <w:color w:val="000000"/>
          <w:sz w:val="24"/>
        </w:rPr>
        <w:t>1.4 The Mouse Uterus</w:t>
      </w:r>
    </w:p>
    <w:p>
      <w:pPr>
        <w:spacing w:line="360" w:lineRule="auto" w:after="0"/>
        <w:jc w:val="both"/>
      </w:pPr>
      <w:r>
        <w:rPr>
          <w:rFonts w:ascii="Times New Roman" w:hAnsi="Times New Roman" w:eastAsia="Times New Roman"/>
          <w:color w:val="000000"/>
          <w:sz w:val="24"/>
        </w:rPr>
        <w:t>The laboratory mouse (</w:t>
      </w:r>
      <w:r>
        <w:rPr>
          <w:rFonts w:ascii="Times New Roman" w:hAnsi="Times New Roman" w:eastAsia="Times New Roman"/>
          <w:i/>
          <w:color w:val="000000"/>
          <w:sz w:val="24"/>
        </w:rPr>
        <w:t>Mus musculus</w:t>
      </w:r>
      <w:r>
        <w:rPr>
          <w:rFonts w:ascii="Times New Roman" w:hAnsi="Times New Roman" w:eastAsia="Times New Roman"/>
          <w:color w:val="000000"/>
          <w:sz w:val="24"/>
        </w:rPr>
        <w:t xml:space="preserve">) has been universally adopted as the preeminent, indispensable mammalian model in reproductive physiology, toxicology, and pharmacological research, owing largely to its genetic tractability, rapid reproductive rate, and profound functional homologies with the human reproductive system (Hartmann &amp; Mohamed, 2021). However, while functionally analogous, the mouse uterus exhibits stark, fundamental anatomical divergences from the human simplex structure that must be meticulously understood when designing and interpreting pharmacological assays. Unlike the single, fused, pear-shaped uterus characteristic of human females, the mouse possesses a bicornuate, or strictly duplex, uterus. This specific anatomical configuration consists of two entirely distinct, highly elongated, and tubular uterine horns (cornua) that extend craniocaudally through the abdominal cavity. These separate horns ultimately converge inferiorly, opening independently through a bilobed cervix directly into a single vaginal canal (Hong et al., 2022). This distinct architectural adaptation is an evolutionary necessity, perfectly engineered to safely accommodate and sustain massive multifetal pregnancies (litters) characteristic of rodent reproduction, distributing multiple implantation sites evenly along the extensive length of each uterine horn. </w:t>
      </w:r>
    </w:p>
    <w:p>
      <w:pPr>
        <w:spacing w:line="360" w:lineRule="auto" w:after="0"/>
        <w:jc w:val="both"/>
      </w:pPr>
      <w:r>
        <w:rPr>
          <w:rFonts w:ascii="Times New Roman" w:hAnsi="Times New Roman" w:eastAsia="Times New Roman"/>
          <w:color w:val="000000"/>
          <w:sz w:val="24"/>
        </w:rPr>
        <w:t xml:space="preserve">Despite this profound divergence in gross anatomical structure, the fundamental histological architecture of the murine uterine wall remarkably mirrors that of the human, providing a highly reliable and valid substrate for extrapolating pharmacological mechanisms (Tajbakhsh &amp; Jafari, 2022). Similar to the human uterus, the murine uterine wall is strictly stratified into three primary physiological layers: an outer perimetrium, a middle muscular myometrium, and an inner mucosal endometrium. The perimetrium remains a thin serosal layer contiguous with the broad ligament, providing external structural integrity. The inner endometrium undergoes cyclical alterations driven by systemic hormonal fluctuations, though it lacks the pronounced, distinct structural division into stratum basalis and functionalis seen in menstruating primates, and critically, mice do not experience overt, hemorrhagic menstruation; rather, the superficial lining is largely reabsorbed (Hartmann &amp; Mohamed, 2021). It is the middle layer, the myometrium, that holds paramount significance in the study of dysmenorrhea and tocolytic pharmacology. </w:t>
      </w:r>
    </w:p>
    <w:p>
      <w:pPr>
        <w:spacing w:line="360" w:lineRule="auto" w:after="0"/>
        <w:jc w:val="both"/>
      </w:pPr>
      <w:r>
        <w:rPr>
          <w:rFonts w:ascii="Times New Roman" w:hAnsi="Times New Roman" w:eastAsia="Times New Roman"/>
          <w:color w:val="000000"/>
          <w:sz w:val="24"/>
        </w:rPr>
        <w:t xml:space="preserve">The murine myometrium is exceptionally well-defined and structurally less complex than its human counterpart, making it an ideal model for isolating and studying specific smooth muscle mechanics (Xu &amp; Zhang, 2023). It is distinctly organized into two discrete, clearly separated layers of smooth muscle: a relatively thin outer layer of longitudinally oriented muscle fibers (the longitudinal myometrium) and a significantly thicker inner layer of circularly oriented muscle fibers (the circular myometrium). Crucially, these two contractile layers are physically separated by a highly distinct, highly vascularized band of connective tissue termed the stratum vasculare, which houses the primary blood vessels and neural networks supplying the uterine tissue. This organization starkly contrasts with the human myometrium, which features a massive, interwoven, figure-of-eight intermediate muscle layer designed specifically for postpartum hemostasis. The discrete separation of the longitudinal and circular muscle layers in the mouse allows pharmacologists to cleanly isolate the uterine horns and record clear, unambiguous, and highly rhythmic spontaneous contractions ex vivo (Xu &amp; Zhang, 2023). </w:t>
      </w:r>
    </w:p>
    <w:p>
      <w:pPr>
        <w:spacing w:line="360" w:lineRule="auto" w:after="0"/>
        <w:jc w:val="both"/>
      </w:pPr>
      <w:r>
        <w:rPr>
          <w:rFonts w:ascii="Times New Roman" w:hAnsi="Times New Roman" w:eastAsia="Times New Roman"/>
          <w:color w:val="000000"/>
          <w:sz w:val="24"/>
        </w:rPr>
        <w:t>Functionally, the excitation-contraction coupling mechanisms within the murine myometrial smooth muscle cells are virtually identical to those in humans. Contraction is universally driven by intracellular calcium dynamics, governed by voltage-dependent calcium channels (VDCCs), receptor-operated channels, and intracellular sarcoplasmic reticulum release (Lee &amp; Park, 2022). Furthermore, the murine myometrium expresses an identical suite of pharmacological receptors, including oxytocin receptors, prostaglandin receptors (specifically the FP and EP receptor subtypes), and various adrenergic and muscarinic receptors (Shi &amp; Jia, 2022). Consequently, the isolated murine uterine horn responds with immense, predictable, and highly quantifiable dose-dependent hypercontractility when exposed to exogenous uterotonic agents such as oxytocin, acetylcholine, or prostaglandin F2-alpha (Ma &amp; Li, 2022). Conversely, it demonstrates measurable, dose-dependent relaxation when exposed to known tocolytic agents, calcium channel blockers, or cyclooxygenase inhibitors (Ponce-Monter et al., 2017). This precise predictability, combined with the structural simplicity that allows for clean, artifact-free organ bath recordings, firmly establishes the isolated mouse uterus as the definitive, gold-standard experimental model for systematically screening, evaluating, and confirming the therapeutic antidysmenorrhea potential of novel pharmacological compounds and complex phytomedicinal extracts (Hartmann &amp; Mohamed, 2021).</w:t>
      </w:r>
    </w:p>
    <w:p>
      <w:pPr>
        <w:pStyle w:val="Heading2"/>
        <w:jc w:val="both"/>
      </w:pPr>
      <w:r>
        <w:rPr>
          <w:rFonts w:ascii="Times New Roman" w:hAnsi="Times New Roman" w:eastAsia="Times New Roman"/>
          <w:color w:val="000000"/>
          <w:sz w:val="24"/>
        </w:rPr>
        <w:t>1.5 The Female Mice Reproductive Cycle</w:t>
      </w:r>
    </w:p>
    <w:p>
      <w:pPr>
        <w:spacing w:line="360" w:lineRule="auto" w:after="0"/>
        <w:jc w:val="both"/>
      </w:pPr>
      <w:r>
        <w:rPr>
          <w:rFonts w:ascii="Times New Roman" w:hAnsi="Times New Roman" w:eastAsia="Times New Roman"/>
          <w:color w:val="000000"/>
          <w:sz w:val="24"/>
        </w:rPr>
        <w:t>Unlike humans and certain higher primates that undergo a 28-day menstrual cycle characterized by the overt physiological shedding of the uterine lining, the female mouse experiences a rapid, continuous, and non-bleeding reproductive cycle termed the estrous cycle. This highly accelerated polyestrous process is driven by the exact same fundamental hypothalamic-pituitary-ovarian (HPO) neuroendocrine feedback mechanisms as the human cycle—utilizing identical hormones including GnRH, FSH, LH, estrogen, and progesterone—but is vastly compressed into a brief chronological timeframe typically lasting only 4 to 5 days (Hartmann &amp; Mohamed, 2021). This rapid cycling makes the mouse an exceptionally efficient in vivo model for studying hormonally dependent physiological processes. The murine estrous cycle is systematically categorized into four distinct, sequentially progressive stages: proestrus, estrus, metestrus, and diestrus. Because the structural and functional state of the entire reproductive tract fluctuates radically across these phases, accurate determination of the estrous stage is an absolute prerequisite prior to utilizing female mice in any pharmacological experiment, particularly those evaluating uterine contractility (Xu &amp; Zhang, 2023). This staging is routinely and accurately accomplished through the non-invasive cytological evaluation of vaginal smears, as the vaginal epithelium undergoes highly specific, predictable morphological transformations strictly dictated by the prevailing systemic steroidal environment.</w:t>
      </w:r>
    </w:p>
    <w:p>
      <w:pPr>
        <w:spacing w:line="360" w:lineRule="auto" w:after="0"/>
        <w:jc w:val="both"/>
      </w:pPr>
      <w:r>
        <w:rPr>
          <w:rFonts w:ascii="Times New Roman" w:hAnsi="Times New Roman" w:eastAsia="Times New Roman"/>
          <w:color w:val="000000"/>
          <w:sz w:val="24"/>
        </w:rPr>
        <w:t>The cycle begins with proestrus, a short pre-ovulatory phase typically lasting 12 to 14 hours. During proestrus, a new cohort of ovarian follicles undergoes rapid final maturation, leading to a massive, systemic surge in circulating estrogen levels. This estrogen dominance exerts profound trophic effects across the reproductive tract, inducing massive cellular proliferation and severe tissue engorgement (Sari &amp; Sutrisno, 2022). Cytologically, a vaginal smear taken during proestrus is overwhelmingly characterized by the presence of large, round, nucleated epithelial cells, reflecting active mucosal generation. Biologically, this peak in estrogen is absolutely critical for the pharmacological assessment of dysmenorrhea therapies; high estrogen concentrations profoundly sensitize the myometrial smooth muscle by massively upregulating the expression of both oxytocin receptors and gap junctions (connexin-43) between muscle cells (Shi &amp; Jia, 2022). This sensitization ensures that the uterus is maximally excitable and capable of mounting massive, highly coordinated, and sustained tetanic contractions when exposed to uterotonic agents (Ma &amp; Li, 2022). Consequently, animals in the proestrus or early estrus phase are specifically selected for ex vivo organ bath experiments to ensure robust and reproducible baseline contractile activity (Lestariningsih et al., 2024).</w:t>
      </w:r>
    </w:p>
    <w:p>
      <w:pPr>
        <w:spacing w:line="360" w:lineRule="auto" w:after="0"/>
        <w:jc w:val="both"/>
      </w:pPr>
      <w:r>
        <w:rPr>
          <w:rFonts w:ascii="Times New Roman" w:hAnsi="Times New Roman" w:eastAsia="Times New Roman"/>
          <w:color w:val="000000"/>
          <w:sz w:val="24"/>
        </w:rPr>
        <w:t>Following proestrus, the animal enters estrus, the phase of behavioral sexual receptivity (heat) and active ovulation. Lasting between 24 to 48 hours, estrus is initiated by the LH surge, which triggers the release of the ova. As ovulation occurs, estrogen levels begin to rapidly decline while progesterone levels begin to rise. The intense estrogen exposure from the preceding proestrus phase causes the superficial layers of the rapidly dividing vaginal epithelium to undergo severe keratinization and programmed cell death (Sari &amp; Sutrisno, 2022). Thus, the classic cytological hallmark of the estrus smear is an overwhelming abundance of large, irregularly shaped, anucleated cornified epithelial cells, often appearing in massive, densely packed clusters. The uterus remains highly contractile and functionally prepared for sperm transport.</w:t>
      </w:r>
    </w:p>
    <w:p>
      <w:pPr>
        <w:spacing w:line="360" w:lineRule="auto" w:after="0"/>
        <w:jc w:val="both"/>
      </w:pPr>
      <w:r>
        <w:rPr>
          <w:rFonts w:ascii="Times New Roman" w:hAnsi="Times New Roman" w:eastAsia="Times New Roman"/>
          <w:color w:val="000000"/>
          <w:sz w:val="24"/>
        </w:rPr>
        <w:t xml:space="preserve">As the cycle progresses into metestrus, a brief transitional phase lasting 10 to 14 hours, the structural remnants of the ovulated follicles rapidly reorganize to form the corpora lutea. This phase marks the definitive shift from an estrogen-dominant to a progesterone-dominant systemic environment (Hartmann &amp; Mohamed, 2021). The physical trauma of ovulation and the shedding of the cornified vaginal layers trigger a massive local inflammatory response. Consequently, a metestrus vaginal smear presents a highly characteristic, heterogeneous mixture of scattered cornified epithelial cells and a massive influx of small, densely staining polymorphonuclear leukocytes (neutrophils). </w:t>
      </w:r>
    </w:p>
    <w:p>
      <w:pPr>
        <w:spacing w:line="360" w:lineRule="auto" w:after="0"/>
        <w:jc w:val="both"/>
      </w:pPr>
      <w:r>
        <w:rPr>
          <w:rFonts w:ascii="Times New Roman" w:hAnsi="Times New Roman" w:eastAsia="Times New Roman"/>
          <w:color w:val="000000"/>
          <w:sz w:val="24"/>
        </w:rPr>
        <w:t>Finally, the cycle enters diestrus, the longest phase, typically lasting 48 to 72 hours. Diestrus represents the fully established luteal phase, characterized by peak systemic secretion of progesterone from the functional corpora lutea (Sari &amp; Sutrisno, 2022). Progesterone acts as the dominant hormonal influence, halting cellular proliferation, reducing tissue vascularity, and profoundly suppressing myometrial excitability to establish a quiescent uterine environment suitable for potential implantation. If fertilization and pregnancy do not occur, the corpora lutea rapidly regress via luteolysis, leading to a sharp drop in progesterone. Cytologically, the diestrus vaginal smear is sparse, consisting almost entirely of a dense background of leukocytes with very few intact nucleated epithelial cells. The sudden withdrawal of steroidal support resets the hypothalamic-pituitary axis, allowing FSH levels to rise again, thus seamlessly initiating a new proestrus phase and beginning the cycle anew (Hartmann &amp; Mohamed, 2021). The profound influence of these rapid cyclical hormonal fluctuations dictates that the specific phase of the estrous cycle must be strictly controlled or precisely documented in any valid pharmacological investigation of uterine contractility to prevent massive data variability and ensure scientifically sound conclusions (Xu &amp; Zhang, 2023).</w:t>
      </w:r>
    </w:p>
    <w:p>
      <w:pPr>
        <w:pStyle w:val="Heading2"/>
        <w:jc w:val="both"/>
      </w:pPr>
      <w:r>
        <w:rPr>
          <w:rFonts w:ascii="Times New Roman" w:hAnsi="Times New Roman" w:eastAsia="Times New Roman"/>
          <w:color w:val="000000"/>
          <w:sz w:val="24"/>
        </w:rPr>
        <w:t>1.6 Dysmenorrhea and Uterine Contractility</w:t>
      </w:r>
    </w:p>
    <w:p>
      <w:pPr>
        <w:spacing w:line="360" w:lineRule="auto" w:after="0"/>
        <w:jc w:val="both"/>
      </w:pPr>
      <w:r>
        <w:rPr>
          <w:rFonts w:ascii="Times New Roman" w:hAnsi="Times New Roman" w:eastAsia="Times New Roman"/>
          <w:color w:val="000000"/>
          <w:sz w:val="24"/>
        </w:rPr>
        <w:t>Dysmenorrhea, colloquially known as painful menstruation, represents one of the most widespread and debilitating gynecological disorders affecting women of reproductive age globally (Iacovides et al., 2015). It is clinically stratified into two distinct classifications: primary dysmenorrhea and secondary dysmenorrhea. Primary dysmenorrhea is strictly defined as severe, spasmodic lower abdominal or pelvic pain occurring directly prior to or coincident with the onset of menses, in the absolute absence of any identifiable macroscopic pelvic pathology (Dawood, 2006). In stark contrast, secondary dysmenorrhea is directly attributable to a specific underlying structural or pathological anomaly within the reproductive tract, such as endometriosis, uterine fibroids (leiomyomas), adenomyosis, pelvic inflammatory disease, or the presence of an intrauterine device (Smith et al., 2024). While secondary dysmenorrhea predominantly affects older women and necessitates the targeted medical or surgical resolution of the causative pathology, primary dysmenorrhea typically emerges shortly after menarche, once regular ovulatory cycles have been established, and constitutes the primary focus of vast pharmacological research and tocolytic intervention.</w:t>
      </w:r>
    </w:p>
    <w:p>
      <w:pPr>
        <w:spacing w:line="360" w:lineRule="auto" w:after="0"/>
        <w:jc w:val="both"/>
      </w:pPr>
      <w:r>
        <w:rPr>
          <w:rFonts w:ascii="Times New Roman" w:hAnsi="Times New Roman" w:eastAsia="Times New Roman"/>
          <w:color w:val="000000"/>
          <w:sz w:val="24"/>
        </w:rPr>
        <w:t>The global epidemiological burden of primary dysmenorrhea is massive, though precisely quantifying its exact prevalence is notoriously challenging due to significant cultural disparities in pain reporting, inconsistent clinical definitions, and the widespread normalization of menstrual pain, which often deters women from seeking formal medical intervention (Ju et al., 2014). Nevertheless, comprehensive systematic reviews and large-scale cross-sectional meta-analyses consistently report that primary dysmenorrhea affects between 45% to 95% of menstruating women worldwide, with the highest prevalence rates uniformly observed during late adolescence and early adulthood (Ding et al., 2021). The clinical manifestation is not isolated to pelvic pain; it is frequently accompanied by a constellation of severe systemic symptoms, including debilitating nausea, emesis, profound fatigue, recurrent headaches, lower back pain radiating down the thighs, and unremitting diarrhea. The compounded physical and psychological toll of this symptomatology exerts a profound, measurable negative impact on academic performance, occupational productivity, and overall quality of life, accounting for millions of lost school and work hours annually (Ameade et al., 2018).</w:t>
      </w:r>
    </w:p>
    <w:p>
      <w:pPr>
        <w:spacing w:line="360" w:lineRule="auto" w:after="0"/>
        <w:jc w:val="both"/>
      </w:pPr>
      <w:r>
        <w:rPr>
          <w:rFonts w:ascii="Times New Roman" w:hAnsi="Times New Roman" w:eastAsia="Times New Roman"/>
          <w:color w:val="000000"/>
          <w:sz w:val="24"/>
        </w:rPr>
        <w:t>The fundamental pathophysiology of primary dysmenorrhea is unequivocally rooted in the gross hypercontractility of the uterine myometrium, driven almost entirely by the pathological overproduction of endogenous prostaglandins within the sloughing endometrium (Tang &amp; Wang, 2023). Following the physiological demise of the corpus luteum and the subsequent precipitous drop in circulating progesterone and estrogen at the end of the luteal phase, lysosomal membranes within the endometrial cells destabilize. This destabilization liberates the enzyme phospholipase A2, which cleaves arachidonic acid from the lipid bilayer of the cell membranes. Arachidonic acid is rapidly oxygenated by cyclooxygenase (COX) enzymes, specifically the highly inducible COX-2 isoform, triggering the massive, localized synthesis of cyclic endoperoxides (Wan &amp; Yao, 2021). These intermediates are swiftly converted into potent terminal prostaglandins, predominantly prostaglandin F2-alpha (PGF2α) and prostaglandin E2 (PGE2). Women suffering from primary dysmenorrhea synthesize and release exponentially higher concentrations of these specific prostaglandins into their menstrual fluid compared to asymptomatic, eumenorrheic women (Dawood, 1987).</w:t>
      </w:r>
    </w:p>
    <w:p>
      <w:pPr>
        <w:spacing w:line="360" w:lineRule="auto" w:after="0"/>
        <w:jc w:val="both"/>
      </w:pPr>
      <w:r>
        <w:rPr>
          <w:rFonts w:ascii="Times New Roman" w:hAnsi="Times New Roman" w:eastAsia="Times New Roman"/>
          <w:color w:val="000000"/>
          <w:sz w:val="24"/>
        </w:rPr>
        <w:t>These excess prostaglandins, particularly PGF2α, act as incredibly potent, direct uterotonics (Tang &amp; Wang, 2023). They diffuse deeply into the underlying myometrium and bind to specific G-protein coupled receptors, triggering massive intracellular calcium release. This calcium cascade initiates severe, dysrhythmic, and sustained tetanic contractions of the massive myometrial muscle bed. These pathological hypercontractions dramatically elevate baseline intrauterine resting tone, often exceeding 40 mmHg, and generate immense active contractile pressures that can surpass 150 mmHg (Akerlund, 1979). Crucially, these extreme intrauterine pressures physically exceed the mean arterial perfusion pressure of the uterine vasculature. This creates a state of profound, transient mechanical ischemia, as the contracting muscle mass physically crushes the embedded arcuate and radial arteries, severely restricting oxygen delivery to the tissue (Altunyurt et al., 2005). The resulting severe hypoxia forces the myometrium into anaerobic metabolism, leading to the rapid accumulation of lactic acid and other noxious metabolites. These metabolic byproducts directly stimulate the type C pain fibers traversing the pelvic visceral afferent nerves, culminating in the intense, agonizing cramping characteristic of primary dysmenorrhea (Iacovides et al., 2015). Furthermore, researchers have demonstrated that elevated levels of other vasoactive mediators, such as vasopressin and oxytocin, act synergistically with prostaglandins to exacerbate uterine dysrhythmia and vascular ischemia, further compounding the pain profile (Liedman et al., 2008). Therefore, the suppression of this aberrant uterine contractility—either by inhibiting the upstream synthesis of prostaglandins or by directly blocking the downstream calcium channels required for smooth muscle execution—remains the fundamental, indisputable strategy for all pharmacological treatments targeting primary dysmenorrhea (Smith et al., 2024).</w:t>
      </w:r>
    </w:p>
    <w:p>
      <w:pPr>
        <w:pStyle w:val="Heading2"/>
        <w:jc w:val="both"/>
      </w:pPr>
      <w:r>
        <w:rPr>
          <w:rFonts w:ascii="Times New Roman" w:hAnsi="Times New Roman" w:eastAsia="Times New Roman"/>
          <w:color w:val="000000"/>
          <w:sz w:val="24"/>
        </w:rPr>
        <w:t>1.7 Drugs Implicated in the Management of Dysmenorrhea</w:t>
      </w:r>
    </w:p>
    <w:p>
      <w:pPr>
        <w:spacing w:line="360" w:lineRule="auto" w:after="0"/>
        <w:jc w:val="both"/>
      </w:pPr>
      <w:r>
        <w:rPr>
          <w:rFonts w:ascii="Times New Roman" w:hAnsi="Times New Roman" w:eastAsia="Times New Roman"/>
          <w:color w:val="000000"/>
          <w:sz w:val="24"/>
        </w:rPr>
        <w:t>Given that the definitive physiological origin of primary dysmenorrhea lies in the pathological overproduction of prostaglandins and the subsequent cascade of severe, ischemic uterine hypercontractility, contemporary pharmacological management is overwhelmingly directed toward breaking this specific pathogenic chain. The cornerstone of evidence-based medical intervention relies fundamentally on two primary classes of synthetic pharmaceuticals: Non-Steroidal Anti-Inflammatory Drugs (NSAIDs) and Combined Oral Contraceptives (COCs) (Marjoribanks et al., 2015; Wong et al., 2009). These two established modalities, utilized either as monotherapy or in a synergistic combination, currently constitute the undisputed, universally recommended first-line treatment protocols across all major global gynecological guidelines (Burnett &amp; Lemyre, 2017).</w:t>
      </w:r>
    </w:p>
    <w:p>
      <w:pPr>
        <w:spacing w:line="360" w:lineRule="auto" w:after="0"/>
        <w:jc w:val="both"/>
      </w:pPr>
      <w:r>
        <w:rPr>
          <w:rFonts w:ascii="Times New Roman" w:hAnsi="Times New Roman" w:eastAsia="Times New Roman"/>
          <w:color w:val="000000"/>
          <w:sz w:val="24"/>
        </w:rPr>
        <w:t>Non-Steroidal Anti-Inflammatory Drugs (NSAIDs), such as ibuprofen, naproxen, mefenamic acid, and diclofenac, represent the absolute vanguard of targeted, first-line therapy for primary dysmenorrhea (Marjoribanks et al., 2015). Their mechanism of action is incredibly precise and directly antagonistic to the core pathophysiology of the disorder: NSAIDs act as potent, competitive inhibitors of the cyclooxygenase (COX) enzyme system, the critical bottleneck catalyst responsible for the oxidative conversion of arachidonic acid into the massive surge of prostaglandins (PGF2α and PGE2) (Rouzer &amp; Marnett, 2009). By systematically blocking the catalytic activity of both the constitutive COX-1 and the highly inducible COX-2 isoforms, NSAIDs effectively shut down the entire downstream arachidonic acid cascade within the sloughing endometrium. This profound, targeted biochemical blockade drastically curtails the synthesis and accumulation of potent uterotonic prostaglandins, thereby preventing the initiation of severe myometrial hypercontractility, restoring normal uterine blood flow, eliminating tissue ischemia, and ultimately extinguishing the peripheral pain signal at its origin (Dawood, 1984). Extensive meta-analyses have repeatedly confirmed that NSAIDs are significantly superior to placebo in providing robust, rapid, and sustained relief from acute menstrual cramping (Marjoribanks et al., 2015).</w:t>
      </w:r>
    </w:p>
    <w:p>
      <w:pPr>
        <w:spacing w:line="360" w:lineRule="auto" w:after="0"/>
        <w:jc w:val="both"/>
      </w:pPr>
      <w:r>
        <w:rPr>
          <w:rFonts w:ascii="Times New Roman" w:hAnsi="Times New Roman" w:eastAsia="Times New Roman"/>
          <w:color w:val="000000"/>
          <w:sz w:val="24"/>
        </w:rPr>
        <w:t xml:space="preserve">Combined Oral Contraceptives (COCs) provide a highly effective, alternative, or adjunctive first-line therapeutic approach, functioning via a fundamentally different mechanism. Composed of synthetic estrogen and progestin, COCs operate by exerting profound, continuous negative feedback on the Hypothalamic-Pituitary-Ovarian (HPO) axis, thereby suppressing the mid-cycle luteinizing hormone (LH) surge and medically abolishing ovulation entirely (Wong et al., 2009). By preventing ovulation, COCs fundamentally disrupt the hormonal prerequisites necessary for the massive proliferation of the endometrial stratum functionalis. The continuous delivery of synthetic progestin creates a thin, highly atrophic, and relatively inactive endometrial lining. Consequently, when the withdrawal bleed (a hormonally induced pseudo-menstruation) occurs during the placebo week, there is an incredibly minimal volume of endometrial tissue available to break down. This massive reduction in tissue volume directly correlates to a vastly diminished capacity for the synthesis and release of arachidonic acid and prostaglandins (Wong et al., 2009). By preemptively downregulating the total substrate available for prostaglandin synthesis, COCs effectively lower the baseline intrauterine pressure and completely prevent the severe, spastic hypercontractility characteristic of dysmenorrhea. </w:t>
      </w:r>
    </w:p>
    <w:p>
      <w:pPr>
        <w:spacing w:line="360" w:lineRule="auto" w:after="0"/>
        <w:jc w:val="both"/>
      </w:pPr>
      <w:r>
        <w:rPr>
          <w:rFonts w:ascii="Times New Roman" w:hAnsi="Times New Roman" w:eastAsia="Times New Roman"/>
          <w:color w:val="000000"/>
          <w:sz w:val="24"/>
        </w:rPr>
        <w:t>However, despite their proven efficacy, neither NSAIDs nor COCs provide a universal panacea, and their widespread clinical utility is severely limited by a formidable array of adverse drug reactions, absolute contraindications, and high rates of clinical failure (Oladosu et al., 2018). The indiscriminate inhibition of COX enzymes by non-selective NSAIDs profoundly suppresses the synthesis of cytoprotective prostaglandins within the gastric mucosa, exposing patients to severe gastrointestinal toxicities, ranging from chronic dyspepsia and nausea to life-threatening peptic ulceration and catastrophic gastrointestinal hemorrhage, particularly with long-term, high-dose administration (Navarro &amp; Sánchez, 2022). Furthermore, NSAID use carries well-documented risks of nephrotoxicity, hepatotoxicity, and exacerbation of reactive airway diseases like asthma. COCs also carry a significant burden of side effects, including severe mood lability, undesirable weight gain, debilitating migraines, extreme breast tenderness, and a profoundly elevated, life-threatening risk of developing venous thromboembolism (VTE), deep vein thrombosis (DVT), and pulmonary embolism, especially in individuals with a high BMI or a history of smoking (Smith et al., 2024). Even more concerning is the phenomenon of pharmacological resistance: an estimated 15% to 25% of women suffering from severe primary dysmenorrhea are completely refractory to maximum tolerated doses of both NSAIDs and COCs, deriving absolutely zero clinical relief and remaining trapped in severe, cyclical agony (Oladosu et al., 2018). This significant failure rate, combined with the severe, dose-limiting toxicity profile of existing synthetics, has catalyzed an urgent, global scientific mandate to aggressively discover, rigorously evaluate, and develop novel, highly efficacious, and significantly safer alternative tocolytic and analgesic therapeutics, with massive attention currently shifting toward the vast, untapped pharmacological potential of phytomedicine (Sargin, 2021).</w:t>
      </w:r>
    </w:p>
    <w:p>
      <w:pPr>
        <w:pStyle w:val="Heading2"/>
        <w:jc w:val="both"/>
      </w:pPr>
      <w:r>
        <w:rPr>
          <w:rFonts w:ascii="Times New Roman" w:hAnsi="Times New Roman" w:eastAsia="Times New Roman"/>
          <w:color w:val="000000"/>
          <w:sz w:val="24"/>
        </w:rPr>
        <w:t>1.8 Herbal Medicines</w:t>
      </w:r>
    </w:p>
    <w:p>
      <w:pPr>
        <w:spacing w:line="360" w:lineRule="auto" w:after="0"/>
        <w:jc w:val="both"/>
      </w:pPr>
      <w:r>
        <w:rPr>
          <w:rFonts w:ascii="Times New Roman" w:hAnsi="Times New Roman" w:eastAsia="Times New Roman"/>
          <w:color w:val="000000"/>
          <w:sz w:val="24"/>
        </w:rPr>
        <w:t xml:space="preserve">In direct response to the severe limitations, widespread therapeutic failures, and potentially devastating side effects associated with chronic NSAID and synthetic hormonal therapies, there has been a massive, global resurgence of scientific and clinical interest in exploring the vast pharmacological potential of herbal medicines and traditional phytotherapy for the management of primary dysmenorrhea (Sargin, 2021). For millennia, indigenous cultures and traditional medical systems across the world—ranging from Traditional Chinese Medicine (TCM) and Indian Ayurveda to African ethnomedicine and Western herbalism—have relied heavily on a vast compendium of specific botanical extracts, complex herbal formulations, and essential oils to successfully mitigate menstrual pain, regulate highly erratic cycles, and completely resolve severe pelvic cramping (Aziz et al., 2018). While these ancestral remedies were historically dismissed by allopathic medicine as mere folklore or potent placebo effects, contemporary pharmacological research has fundamentally validated their efficacy, proving that many of these botanicals contain incredibly potent, highly active phytochemical constituents that exert complex, measurable, and highly specific physiological effects (Kaur &amp; Kaushal, 2019). </w:t>
      </w:r>
    </w:p>
    <w:p>
      <w:pPr>
        <w:spacing w:line="360" w:lineRule="auto" w:after="0"/>
        <w:jc w:val="both"/>
      </w:pPr>
      <w:r>
        <w:rPr>
          <w:rFonts w:ascii="Times New Roman" w:hAnsi="Times New Roman" w:eastAsia="Times New Roman"/>
          <w:color w:val="000000"/>
          <w:sz w:val="24"/>
        </w:rPr>
        <w:t>Modern scientific investigations into these traditional botanical medicines have isolated an immense array of bioactive secondary metabolites—including complex flavonoids, highly volatile essential oils (terpenes and terpenoids), potent alkaloids, and specialized phenolic compounds—that exhibit profound anti-inflammatory, antispasmodic, tocolytic, and analgesic properties completely analogous to, and sometimes exceeding, those of synthetic pharmaceuticals (Guimarães et al., 2013). These complex plant-derived compounds frequently operate via multiple, synergistic pharmacological pathways. Rather than targeting a single, isolated enzyme like NSAIDs, these herbal extracts can simultaneously downregulate the expression of the COX-2 enzyme, actively inhibit the downstream lipoxygenase (LOX) inflammatory pathway, directly antagonize voltage-gated calcium channels within the myometrium, and significantly enhance local peripheral microcirculation to rapidly reverse ischemic tissue hypoxia (Ramezani &amp; Jalali, 2021).</w:t>
      </w:r>
    </w:p>
    <w:p>
      <w:pPr>
        <w:spacing w:line="360" w:lineRule="auto" w:after="0"/>
        <w:jc w:val="both"/>
      </w:pPr>
      <w:r>
        <w:rPr>
          <w:rFonts w:ascii="Times New Roman" w:hAnsi="Times New Roman" w:eastAsia="Times New Roman"/>
          <w:color w:val="000000"/>
          <w:sz w:val="24"/>
        </w:rPr>
        <w:t>A multitude of rigorous, double-blind, randomized controlled clinical trials have conclusively proven the exceptional efficacy of specific botanical interventions in resolving severe primary dysmenorrhea. For instance, Fennel (</w:t>
      </w:r>
      <w:r>
        <w:rPr>
          <w:rFonts w:ascii="Times New Roman" w:hAnsi="Times New Roman" w:eastAsia="Times New Roman"/>
          <w:i/>
          <w:color w:val="000000"/>
          <w:sz w:val="24"/>
        </w:rPr>
        <w:t>Foeniculum vulgare</w:t>
      </w:r>
      <w:r>
        <w:rPr>
          <w:rFonts w:ascii="Times New Roman" w:hAnsi="Times New Roman" w:eastAsia="Times New Roman"/>
          <w:color w:val="000000"/>
          <w:sz w:val="24"/>
        </w:rPr>
        <w:t>), a botanical rich in the potent antispasmodic anethole, has repeatedly demonstrated an ability to significantly reduce both the severity and the duration of acute menstrual pain by acting as a powerful direct relaxant on the uterine smooth muscle, effectively neutralizing hypercontractility (Lee et al., 2020; Ostad et al., 2001). Ginger (</w:t>
      </w:r>
      <w:r>
        <w:rPr>
          <w:rFonts w:ascii="Times New Roman" w:hAnsi="Times New Roman" w:eastAsia="Times New Roman"/>
          <w:i/>
          <w:color w:val="000000"/>
          <w:sz w:val="24"/>
        </w:rPr>
        <w:t>Zingiber officinale</w:t>
      </w:r>
      <w:r>
        <w:rPr>
          <w:rFonts w:ascii="Times New Roman" w:hAnsi="Times New Roman" w:eastAsia="Times New Roman"/>
          <w:color w:val="000000"/>
          <w:sz w:val="24"/>
        </w:rPr>
        <w:t>), densely packed with bioactive gingerols and shogaols, has been proven through massive meta-analyses to be statistically equally as effective as prescription mefenamic acid or ibuprofen in eliminating primary dysmenorrhea, functioning primarily through the profound, systemic inhibition of prostaglandin synthesis (Pattanittum et al., 2016). Similarly, Chamomile (</w:t>
      </w:r>
      <w:r>
        <w:rPr>
          <w:rFonts w:ascii="Times New Roman" w:hAnsi="Times New Roman" w:eastAsia="Times New Roman"/>
          <w:i/>
          <w:color w:val="000000"/>
          <w:sz w:val="24"/>
        </w:rPr>
        <w:t>Matricaria chamomilla</w:t>
      </w:r>
      <w:r>
        <w:rPr>
          <w:rFonts w:ascii="Times New Roman" w:hAnsi="Times New Roman" w:eastAsia="Times New Roman"/>
          <w:color w:val="000000"/>
          <w:sz w:val="24"/>
        </w:rPr>
        <w:t>), Cinnamon (</w:t>
      </w:r>
      <w:r>
        <w:rPr>
          <w:rFonts w:ascii="Times New Roman" w:hAnsi="Times New Roman" w:eastAsia="Times New Roman"/>
          <w:i/>
          <w:color w:val="000000"/>
          <w:sz w:val="24"/>
        </w:rPr>
        <w:t>Cinnamomum zeylanicum</w:t>
      </w:r>
      <w:r>
        <w:rPr>
          <w:rFonts w:ascii="Times New Roman" w:hAnsi="Times New Roman" w:eastAsia="Times New Roman"/>
          <w:color w:val="000000"/>
          <w:sz w:val="24"/>
        </w:rPr>
        <w:t xml:space="preserve">), and complex traditional formulations like </w:t>
      </w:r>
      <w:r>
        <w:rPr>
          <w:rFonts w:ascii="Times New Roman" w:hAnsi="Times New Roman" w:eastAsia="Times New Roman"/>
          <w:i/>
          <w:color w:val="000000"/>
          <w:sz w:val="24"/>
        </w:rPr>
        <w:t>Dangguijagyag-san</w:t>
      </w:r>
      <w:r>
        <w:rPr>
          <w:rFonts w:ascii="Times New Roman" w:hAnsi="Times New Roman" w:eastAsia="Times New Roman"/>
          <w:color w:val="000000"/>
          <w:sz w:val="24"/>
        </w:rPr>
        <w:t xml:space="preserve"> have demonstrated profound, scientifically validated antispasmodic and analgesic actions, offering women massive relief without the severe gastrointestinal toxicity or thromboembolic risks intrinsically associated with continuous NSAID or oral contraceptive use (Lee et al., 2016; Rahnama &amp; Montazeri, 2021).</w:t>
      </w:r>
    </w:p>
    <w:p>
      <w:pPr>
        <w:spacing w:line="360" w:lineRule="auto" w:after="0"/>
        <w:jc w:val="both"/>
      </w:pPr>
      <w:r>
        <w:rPr>
          <w:rFonts w:ascii="Times New Roman" w:hAnsi="Times New Roman" w:eastAsia="Times New Roman"/>
          <w:color w:val="000000"/>
          <w:sz w:val="24"/>
        </w:rPr>
        <w:t xml:space="preserve">The profound scientific validation of these specific botanicals has established a critical, irrefutable precedent: the natural world harbors a massive, largely untapped reservoir of immensely potent, multi-targeted, and highly bioavailable tocolytic and analgesic agents. The successful integration of these herbal medicines into evidence-based clinical practice underscores an urgent, ongoing scientific imperative to systematically screen, rigorously evaluate, and fully characterize other prominent botanicals with strong traditional histories of use in treating inflammatory and spasmodic disorders (Sargin, 2021). Among the myriad of potential candidates, </w:t>
      </w:r>
      <w:r>
        <w:rPr>
          <w:rFonts w:ascii="Times New Roman" w:hAnsi="Times New Roman" w:eastAsia="Times New Roman"/>
          <w:i/>
          <w:color w:val="000000"/>
          <w:sz w:val="24"/>
        </w:rPr>
        <w:t>Syzygium aromaticum</w:t>
      </w:r>
      <w:r>
        <w:rPr>
          <w:rFonts w:ascii="Times New Roman" w:hAnsi="Times New Roman" w:eastAsia="Times New Roman"/>
          <w:color w:val="000000"/>
          <w:sz w:val="24"/>
        </w:rPr>
        <w:t>, universally known as clove, has emerged as an exceptionally promising, highly potent botanical subject. Despite an incredibly rich, well-documented history of intense application in traditional medicine for severe pain relief and acute spasm suppression, its specific, isolated efficacy in neutralizing the complex pathophysiology of primary dysmenorrhea remains a critical, unresolved frontier demanding rigorous scientific investigation.</w:t>
      </w:r>
    </w:p>
    <w:p>
      <w:pPr>
        <w:pStyle w:val="Heading2"/>
        <w:jc w:val="both"/>
      </w:pPr>
      <w:r>
        <w:rPr>
          <w:rFonts w:ascii="Times New Roman" w:hAnsi="Times New Roman" w:eastAsia="Times New Roman"/>
          <w:color w:val="000000"/>
          <w:sz w:val="24"/>
        </w:rPr>
        <w:t>1.9 Taxonomic Classification and Overview of Syzygium aromaticum</w:t>
      </w:r>
    </w:p>
    <w:p>
      <w:pPr>
        <w:spacing w:line="360" w:lineRule="auto" w:after="0"/>
        <w:jc w:val="both"/>
      </w:pP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(L.) Merr. &amp; L.M. Perry, universally recognized by its common name "clove," is a profoundly important, highly valuable, and meticulously cultivated medicinal and culinary plant. Botanically, it is classified as a medium-sized, evergreen, tropical tree belonging to the extensive myrtle family, Myrtaceae (Batiha et al., 2020). The genus </w:t>
      </w:r>
      <w:r>
        <w:rPr>
          <w:rFonts w:ascii="Times New Roman" w:hAnsi="Times New Roman" w:eastAsia="Times New Roman"/>
          <w:i/>
          <w:color w:val="000000"/>
          <w:sz w:val="24"/>
        </w:rPr>
        <w:t>Syzygium</w:t>
      </w:r>
      <w:r>
        <w:rPr>
          <w:rFonts w:ascii="Times New Roman" w:hAnsi="Times New Roman" w:eastAsia="Times New Roman"/>
          <w:color w:val="000000"/>
          <w:sz w:val="24"/>
        </w:rPr>
        <w:t xml:space="preserve"> is massive, comprising over 1,200 distinct species distributed widely across the tropical and subtropical regions of the Old World, yet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remains the absolute most economically and pharmacologically significant member of the entire lineage (Devkota &amp; Devkota, 2022). Taxonomically, the plant is organized within the kingdom Plantae, the clade Angiosperms (flowering plants), the clade Eudicots, the clade Rosids, the massive order Myrtales, the family Myrtaceae, and the genus </w:t>
      </w:r>
      <w:r>
        <w:rPr>
          <w:rFonts w:ascii="Times New Roman" w:hAnsi="Times New Roman" w:eastAsia="Times New Roman"/>
          <w:i/>
          <w:color w:val="000000"/>
          <w:sz w:val="24"/>
        </w:rPr>
        <w:t>Syzygium</w:t>
      </w:r>
      <w:r>
        <w:rPr>
          <w:rFonts w:ascii="Times New Roman" w:hAnsi="Times New Roman" w:eastAsia="Times New Roman"/>
          <w:color w:val="000000"/>
          <w:sz w:val="24"/>
        </w:rPr>
        <w:t>. The species is indigenous to the remote Maluku Islands (historically renowned as the "Spice Islands") of eastern Indonesia. However, owing to its immense global demand and exorbitant historical value in both the spice trade and traditional medicine, its intense commercial cultivation has expanded massively over centuries to encompass various tropical zones globally, including Madagascar, Tanzania (specifically the Zanzibar archipelago), Sri Lanka, India, and vast swathes of South America (Karabacak &amp; Sener, 2021).</w:t>
      </w:r>
    </w:p>
    <w:p>
      <w:pPr>
        <w:spacing w:line="360" w:lineRule="auto" w:after="0"/>
        <w:jc w:val="both"/>
      </w:pPr>
      <w:r>
        <w:rPr>
          <w:rFonts w:ascii="Times New Roman" w:hAnsi="Times New Roman" w:eastAsia="Times New Roman"/>
          <w:color w:val="000000"/>
          <w:sz w:val="24"/>
        </w:rPr>
        <w:t xml:space="preserve">The clove tree typically reaches an impressive height of 8 to 12 meters, distinguished by a dense, highly aromatic canopy composed of large, opposite, ovate-lanceolate leaves that are highly coriaceous (leathery) and deeply studded with massive quantities of visible, translucent secretory glands heavily laden with potent essential oils. However, it is the deeply pigmented, unopened floral buds—the actual "cloves" of commerce—that possess the highest, most concentrated pharmacological value (Batiha et al., 2020). These massive floral buds are meticulously hand-harvested precisely when the fleshy lower receptacle (hypanthium) transitions from a pale green to an intense, vibrant crimson red, just prior to the unfurling of the delicate white petals. Following harvest, these buds are subjected to rigorous, controlled sun-drying until they rapidly desiccate, turning a deep, characteristic dark brown, simultaneously shrinking and hardening into their familiar nail-like morphology (the word "clove" is derived directly from the Latin </w:t>
      </w:r>
      <w:r>
        <w:rPr>
          <w:rFonts w:ascii="Times New Roman" w:hAnsi="Times New Roman" w:eastAsia="Times New Roman"/>
          <w:i/>
          <w:color w:val="000000"/>
          <w:sz w:val="24"/>
        </w:rPr>
        <w:t>clavus</w:t>
      </w:r>
      <w:r>
        <w:rPr>
          <w:rFonts w:ascii="Times New Roman" w:hAnsi="Times New Roman" w:eastAsia="Times New Roman"/>
          <w:color w:val="000000"/>
          <w:sz w:val="24"/>
        </w:rPr>
        <w:t xml:space="preserve">, meaning nail). </w:t>
      </w:r>
    </w:p>
    <w:p>
      <w:pPr>
        <w:spacing w:line="360" w:lineRule="auto" w:after="0"/>
        <w:jc w:val="both"/>
      </w:pPr>
      <w:r>
        <w:rPr>
          <w:rFonts w:ascii="Times New Roman" w:hAnsi="Times New Roman" w:eastAsia="Times New Roman"/>
          <w:color w:val="000000"/>
          <w:sz w:val="24"/>
        </w:rPr>
        <w:t xml:space="preserve">Historically, these intensely aromatic, dried flower buds have commanded extraordinary value not merely as a potent culinary flavoring agent, but as a foundational, indispensable pillar of traditional medical systems worldwide (Karabacak &amp; Sener, 2021). In Traditional Chinese Medicine (TCM), Ayurveda, and Unani Tibb, clove has been revered for millennia as a supremely potent, multi-functional therapeutic agent (Devkota &amp; Devkota, 2022). It has been exhaustively utilized to rapidly resolve acute dental neuralgia, to forcefully expel intestinal parasites, to powerfully mitigate severe gastrointestinal spasms and dyspepsia, and to effectively treat severe, acute respiratory infections due to its profound bronchodilatory and intense antimicrobial actions. The immense, documented historical efficacy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across such diverse and severe medical applications unequivocally signals the presence of exceptionally potent, highly concentrated bioactive phytochemicals within its cellular matrix. This robust historical precedent establishes clove as a prime, incredibly promising botanical candidate for rigorous, contemporary pharmacological analysis, particularly in the targeted search for novel, highly efficacious anti-inflammatory, antispasmodic, and profound analgesic therapeutics capable of neutralizing the complex pathophysiology of dysmenorrhea.</w:t>
      </w:r>
    </w:p>
    <w:p>
      <w:pPr>
        <w:pStyle w:val="Heading2"/>
        <w:jc w:val="both"/>
      </w:pPr>
      <w:r>
        <w:rPr>
          <w:rFonts w:ascii="Times New Roman" w:hAnsi="Times New Roman" w:eastAsia="Times New Roman"/>
          <w:color w:val="000000"/>
          <w:sz w:val="24"/>
        </w:rPr>
        <w:t>1.10 Acute Oral Toxicity</w:t>
      </w:r>
    </w:p>
    <w:p>
      <w:pPr>
        <w:spacing w:line="360" w:lineRule="auto" w:after="0"/>
        <w:jc w:val="both"/>
      </w:pPr>
      <w:r>
        <w:rPr>
          <w:rFonts w:ascii="Times New Roman" w:hAnsi="Times New Roman" w:eastAsia="Times New Roman"/>
          <w:color w:val="000000"/>
          <w:sz w:val="24"/>
        </w:rPr>
        <w:t>While the global resurgence of interest in herbal medicine is driven by the profound pharmacological potential and the widespread public perception that "natural" inherently equates to "safe," rigorous scientific and toxicological evaluation is an absolute, non-negotiable prerequisite before any botanical extract can be considered a viable therapeutic candidate (Pal &amp; Dutta, 2022). The profound reality of pharmacognosy is that many potent medicinal plants harbor complex, biologically active secondary metabolites that, while highly therapeutic at optimized dosages, can become immensely toxic, mutagenic, or overtly lethal when administered incorrectly, at elevated concentrations, or as unregulated crude extracts. Therefore, definitively establishing the precise safety profile and the specific toxicological margins of a botanical extract is just as critical—if not more so—than proving its intended pharmacological efficacy. The fundamental baseline for this entire safety evaluation is the acute oral toxicity study (Graves, 2019).</w:t>
      </w:r>
    </w:p>
    <w:p>
      <w:pPr>
        <w:spacing w:line="360" w:lineRule="auto" w:after="0"/>
        <w:jc w:val="both"/>
      </w:pPr>
      <w:r>
        <w:rPr>
          <w:rFonts w:ascii="Times New Roman" w:hAnsi="Times New Roman" w:eastAsia="Times New Roman"/>
          <w:color w:val="000000"/>
          <w:sz w:val="24"/>
        </w:rPr>
        <w:t>Acute oral toxicity testing is a highly standardized, rigorously controlled, early-stage in vivo pharmacological procedure designed specifically to determine the massive, immediate, and potentially lethal adverse effects that manifest within a short timeframe (typically 14 days) following the single, high-dose administration of a specific test substance (OECD, 2002). This critical evaluation provides the foundational, indispensable toxicological data required to classify the acute hazard potential of the extract, clearly delineate its precise safety margins, definitively establish the No-Observed-Adverse-Effect Level (NOAEL), and strictly guide the selection of safe, sub-lethal dosages for all subsequent, longer-term efficacy studies. Historically, this required massive animal sacrifice to determine the precise LD50 (the exact dose lethal to 50% of the test population). However, modern ethical mandates and stringent animal welfare regulations have completely revolutionized this approach (Sánchez &amp; García, 2022).</w:t>
      </w:r>
    </w:p>
    <w:p>
      <w:pPr>
        <w:spacing w:line="360" w:lineRule="auto" w:after="0"/>
        <w:jc w:val="both"/>
      </w:pPr>
      <w:r>
        <w:rPr>
          <w:rFonts w:ascii="Times New Roman" w:hAnsi="Times New Roman" w:eastAsia="Times New Roman"/>
          <w:color w:val="000000"/>
          <w:sz w:val="24"/>
        </w:rPr>
        <w:t xml:space="preserve">Contemporary toxicological evaluations are strictly governed by highly optimized, globally recognized regulatory protocols, most notably the Organization for Economic Co-operation and Development (OECD) Guidelines for the Testing of Chemicals. Specifically, the OECD Test Guideline 423 (Acute Toxic Class Method) and Guideline 425 (Up-and-Down Procedure) represent the absolute gold standards in modern toxicological screening (Monica &amp; Kumar, 2021). These revolutionary protocols are meticulously designed to maximize the extraction of critical toxicological data while drastically minimizing the total number of live animals utilized. They achieve this through a highly precise, step-wise, sequential dosing strategy utilizing extremely small, tightly controlled cohorts of animals (typically three female mice per step) (OECD, 2002). The starting dose is explicitly selected from a set of fixed, standardized levels (e.g., 5, 50, 300, or 2000 mg/kg) based entirely on any pre-existing toxicological data. Following administration, the animals are subjected to intense, continuous clinical observation, rigorously monitoring for profound changes in the skin and fur, radical shifts in respiratory or cardiovascular function, severe neurological manifestations (such as tremors, severe convulsions, or profound lethargy), extreme behavioral alterations, and ultimately, mortality (Singh &amp; Singh, 2021). </w:t>
      </w:r>
    </w:p>
    <w:p>
      <w:pPr>
        <w:spacing w:line="360" w:lineRule="auto" w:after="0"/>
        <w:jc w:val="both"/>
      </w:pPr>
      <w:r>
        <w:rPr>
          <w:rFonts w:ascii="Times New Roman" w:hAnsi="Times New Roman" w:eastAsia="Times New Roman"/>
          <w:color w:val="000000"/>
          <w:sz w:val="24"/>
        </w:rPr>
        <w:t xml:space="preserve">If survival is confirmed at a specific dose, the protocol systematically dictates progression to the next highest dose level, meticulously continuing this sequence until profound toxicity is observed or the predefined, maximum limit dose (usually 2000 mg/kg or occasionally 5000 mg/kg) is successfully reached without any fatal outcomes (Pal &amp; Dutta, 2022). The survival of the animal cohort at these massive limit doses definitively categorizes the substance as "unclassified" or essentially non-toxic under acute oral exposure, effectively green-lighting the extract for widespread pharmacological application (Madhavi &amp; Rao, 2022). Therefore, conducting a rigorous, OECD-compliant acute oral toxicity study on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is an absolute, non-negotiable scientific mandate to unequivocally validate its safety profile prior to evaluating its complex, multi-pathway efficacy in reversing the severe pathophysiology of primary dysmenorrhea.</w:t>
      </w:r>
    </w:p>
    <w:p>
      <w:pPr>
        <w:pStyle w:val="Heading2"/>
        <w:jc w:val="both"/>
      </w:pPr>
      <w:r>
        <w:rPr>
          <w:rFonts w:ascii="Times New Roman" w:hAnsi="Times New Roman" w:eastAsia="Times New Roman"/>
          <w:color w:val="000000"/>
          <w:sz w:val="24"/>
        </w:rPr>
        <w:t>1.11 Rationale of the Study</w:t>
      </w:r>
    </w:p>
    <w:p>
      <w:pPr>
        <w:spacing w:line="360" w:lineRule="auto" w:after="0"/>
        <w:jc w:val="both"/>
      </w:pPr>
      <w:r>
        <w:rPr>
          <w:rFonts w:ascii="Times New Roman" w:hAnsi="Times New Roman" w:eastAsia="Times New Roman"/>
          <w:color w:val="000000"/>
          <w:sz w:val="24"/>
        </w:rPr>
        <w:t>Primary dysmenorrhea represents a massive, debilitating global health crisis, afflicting up to 95% of reproductive-aged women and causing an immense, catastrophic burden of physical agony, systemic distress, and profound socioeconomic loss due to widespread school and occupational absenteeism (Ding et al., 2021). The foundational pathophysiology of this disorder is undeniably driven by the pathological overproduction of prostaglandins, triggering severe, ischemic, hypercontractile uterine spasms (Dawood, 2006). Current pharmacological reliance on Non-Steroidal Anti-Inflammatory Drugs (NSAIDs) and Combined Oral Contraceptives (COCs) is fundamentally flawed and grossly inadequate. These standard synthetic interventions are severely hampered by dangerous, life-threatening adverse effects—including catastrophic gastrointestinal ulceration, severe hepatotoxicity, and massive thromboembolic risks—and they exhibit an alarming, high clinical failure rate, leaving nearly a quarter of all patients completely refractory to treatment and trapped in a cycle of unremitting pain (Oladosu et al., 2018).</w:t>
      </w:r>
    </w:p>
    <w:p>
      <w:pPr>
        <w:spacing w:line="360" w:lineRule="auto" w:after="0"/>
        <w:jc w:val="both"/>
      </w:pPr>
      <w:r>
        <w:rPr>
          <w:rFonts w:ascii="Times New Roman" w:hAnsi="Times New Roman" w:eastAsia="Times New Roman"/>
          <w:color w:val="000000"/>
          <w:sz w:val="24"/>
        </w:rPr>
        <w:t xml:space="preserve">This profound clinical failure has catalyzed an urgent, absolute scientific mandate to aggressively discover novel, highly efficacious, and significantly safer alternative tocolytic therapies. The massive resurgence of interest in traditional botanical medicines is completely justified; however, these natural remedies require rigorous, uncompromising scientific validation.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 has emerged as an exceptionally potent candidate, boasting a massive historical precedent in traditional medicine for resolving severe pain and acute spasms (Batiha et al., 2020). Modern phytochemical screening confirms that clove is a highly concentrated reservoir of exceptionally potent bioactive compounds, specifically eugenol, which is known to possess powerful anti-inflammatory, anesthetic, and antispasmodic properties (Kamatou et al., 2012). Despite these immense capabilities, there is a massive, critical void in contemporary pharmacological literature regarding the specific, direct evaluation of the ethanolic extract of </w:t>
      </w:r>
      <w:r>
        <w:rPr>
          <w:rFonts w:ascii="Times New Roman" w:hAnsi="Times New Roman" w:eastAsia="Times New Roman"/>
          <w:i/>
          <w:color w:val="000000"/>
          <w:sz w:val="24"/>
        </w:rPr>
        <w:t>S. aromaticum</w:t>
      </w:r>
      <w:r>
        <w:rPr>
          <w:rFonts w:ascii="Times New Roman" w:hAnsi="Times New Roman" w:eastAsia="Times New Roman"/>
          <w:color w:val="000000"/>
          <w:sz w:val="24"/>
        </w:rPr>
        <w:t xml:space="preserve"> flower buds in directly neutralizing the exact, complex pathophysiology of primary dysmenorrhea. </w:t>
      </w:r>
    </w:p>
    <w:p>
      <w:pPr>
        <w:spacing w:line="360" w:lineRule="auto" w:after="0"/>
        <w:jc w:val="both"/>
      </w:pPr>
      <w:r>
        <w:rPr>
          <w:rFonts w:ascii="Times New Roman" w:hAnsi="Times New Roman" w:eastAsia="Times New Roman"/>
          <w:color w:val="000000"/>
          <w:sz w:val="24"/>
        </w:rPr>
        <w:t xml:space="preserve">Therefore, this study is absolutely critical. It aims to bridge this massive scientific gap by systematically and rigorously evaluating both the acute oral safety profile (via stringent OECD guidelines) and the specific, multi-pathway tocolytic efficacy of the ethanolic extract of </w:t>
      </w:r>
      <w:r>
        <w:rPr>
          <w:rFonts w:ascii="Times New Roman" w:hAnsi="Times New Roman" w:eastAsia="Times New Roman"/>
          <w:i/>
          <w:color w:val="000000"/>
          <w:sz w:val="24"/>
        </w:rPr>
        <w:t>S. aromaticum</w:t>
      </w:r>
      <w:r>
        <w:rPr>
          <w:rFonts w:ascii="Times New Roman" w:hAnsi="Times New Roman" w:eastAsia="Times New Roman"/>
          <w:color w:val="000000"/>
          <w:sz w:val="24"/>
        </w:rPr>
        <w:t xml:space="preserve"> flower buds using the gold-standard, isolated murine uterine model. This research is not merely exploratory; it is an essential, highly targeted scientific effort to definitively validate a potent, natural, and vastly safer alternative for millions of women suffering from the severe, unaddressed agony of primary dysmenorrhea.</w:t>
      </w:r>
    </w:p>
    <w:p>
      <w:pPr>
        <w:pStyle w:val="Heading2"/>
        <w:jc w:val="both"/>
      </w:pPr>
      <w:r>
        <w:rPr>
          <w:rFonts w:ascii="Times New Roman" w:hAnsi="Times New Roman" w:eastAsia="Times New Roman"/>
          <w:color w:val="000000"/>
          <w:sz w:val="24"/>
        </w:rPr>
        <w:t>1.12 Research Questions</w:t>
      </w:r>
    </w:p>
    <w:p>
      <w:pPr>
        <w:spacing w:line="360" w:lineRule="auto" w:after="0"/>
        <w:jc w:val="both"/>
      </w:pPr>
      <w:r>
        <w:rPr>
          <w:rFonts w:ascii="Times New Roman" w:hAnsi="Times New Roman" w:eastAsia="Times New Roman"/>
          <w:color w:val="000000"/>
          <w:sz w:val="24"/>
        </w:rPr>
        <w:t xml:space="preserve">To rigorously address the massive scientific gap surrounding the therapeutic potential and toxicological safety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this study is designed to systematically answer the following critical research questions:</w:t>
      </w:r>
    </w:p>
    <w:p>
      <w:pPr>
        <w:spacing w:line="360" w:lineRule="auto" w:after="0"/>
        <w:jc w:val="both"/>
      </w:pPr>
      <w:r>
        <w:rPr>
          <w:rFonts w:ascii="Times New Roman" w:hAnsi="Times New Roman" w:eastAsia="Times New Roman"/>
          <w:color w:val="000000"/>
          <w:sz w:val="24"/>
        </w:rPr>
        <w:t xml:space="preserve">1. What is the precise acute oral toxicity profile of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when evaluated systematically in female mice according to the rigorous, gold-standard OECD Test Guideline 423 protocols?</w:t>
      </w:r>
    </w:p>
    <w:p>
      <w:pPr>
        <w:spacing w:line="360" w:lineRule="auto" w:after="0"/>
        <w:jc w:val="both"/>
      </w:pPr>
      <w:r>
        <w:rPr>
          <w:rFonts w:ascii="Times New Roman" w:hAnsi="Times New Roman" w:eastAsia="Times New Roman"/>
          <w:color w:val="000000"/>
          <w:sz w:val="24"/>
        </w:rPr>
        <w:t xml:space="preserve">2. Does the direct application of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exhibit a massive, statistically significant, and reproducible tocolytic (antispasmodic) effect on the baseline, spontaneous contractile activity of isolated non-pregnant murine uterine tissue?</w:t>
      </w:r>
    </w:p>
    <w:p>
      <w:pPr>
        <w:spacing w:line="360" w:lineRule="auto" w:after="0"/>
        <w:jc w:val="both"/>
      </w:pPr>
      <w:r>
        <w:rPr>
          <w:rFonts w:ascii="Times New Roman" w:hAnsi="Times New Roman" w:eastAsia="Times New Roman"/>
          <w:color w:val="000000"/>
          <w:sz w:val="24"/>
        </w:rPr>
        <w:t xml:space="preserve">3. Can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effectively, rapidly, and predictably reverse the severe, hypercontractile spasms induced by exogenous oxytocin in the isolated murine uterus, thereby demonstrating its profound capacity to neutralize acute dysmenorrheic pathology?</w:t>
      </w:r>
    </w:p>
    <w:p>
      <w:pPr>
        <w:pStyle w:val="Heading2"/>
        <w:jc w:val="both"/>
      </w:pPr>
      <w:r>
        <w:rPr>
          <w:rFonts w:ascii="Times New Roman" w:hAnsi="Times New Roman" w:eastAsia="Times New Roman"/>
          <w:color w:val="000000"/>
          <w:sz w:val="24"/>
        </w:rPr>
        <w:t>1.13 Study Hypothesis</w:t>
      </w:r>
    </w:p>
    <w:p>
      <w:pPr>
        <w:spacing w:line="360" w:lineRule="auto" w:after="0"/>
        <w:jc w:val="both"/>
      </w:pPr>
      <w:r>
        <w:rPr>
          <w:rFonts w:ascii="Times New Roman" w:hAnsi="Times New Roman" w:eastAsia="Times New Roman"/>
          <w:color w:val="000000"/>
          <w:sz w:val="24"/>
        </w:rPr>
        <w:t>This rigorous investigation is driven by the following definitive scientific hypotheses:</w:t>
      </w:r>
    </w:p>
    <w:p>
      <w:pPr>
        <w:pStyle w:val="ListBullet"/>
        <w:spacing w:line="360" w:lineRule="auto"/>
        <w:jc w:val="both"/>
      </w:pPr>
      <w:r>
        <w:rPr>
          <w:rFonts w:ascii="Times New Roman" w:hAnsi="Times New Roman" w:eastAsia="Times New Roman"/>
          <w:b/>
          <w:color w:val="000000"/>
          <w:sz w:val="24"/>
        </w:rPr>
        <w:t>Null Hypothesis (H0):</w:t>
      </w:r>
      <w:r>
        <w:rPr>
          <w:rFonts w:ascii="Times New Roman" w:hAnsi="Times New Roman" w:eastAsia="Times New Roman"/>
          <w:color w:val="000000"/>
          <w:sz w:val="24"/>
        </w:rPr>
        <w:t xml:space="preserve">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exhibits profound acute oral toxicity in vivo and produces absolutely no statistically significant tocolytic or antispasmodic effect on either the spontaneous or oxytocin-induced hypercontractile activity of the isolated murine uterus.</w:t>
      </w:r>
    </w:p>
    <w:p>
      <w:pPr>
        <w:pStyle w:val="ListBullet"/>
        <w:spacing w:line="360" w:lineRule="auto"/>
        <w:jc w:val="both"/>
      </w:pPr>
      <w:r>
        <w:rPr>
          <w:rFonts w:ascii="Times New Roman" w:hAnsi="Times New Roman" w:eastAsia="Times New Roman"/>
          <w:b/>
          <w:color w:val="000000"/>
          <w:sz w:val="24"/>
        </w:rPr>
        <w:t>Alternative Hypothesis (H1):</w:t>
      </w:r>
      <w:r>
        <w:rPr>
          <w:rFonts w:ascii="Times New Roman" w:hAnsi="Times New Roman" w:eastAsia="Times New Roman"/>
          <w:color w:val="000000"/>
          <w:sz w:val="24"/>
        </w:rPr>
        <w:t xml:space="preserve">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is highly safe, exhibiting zero acute oral toxicity up to the massive limit dose of 2000 mg/kg, and it exerts a profound, statistically significant, dose-dependent tocolytic effect, massively suppressing both spontaneous uterine contractions and effectively reversing oxytocin-induced hypercontractility in the murine model, thereby validating its potent antidysmenorrhea efficacy.</w:t>
      </w:r>
    </w:p>
    <w:p>
      <w:pPr>
        <w:pStyle w:val="Heading2"/>
        <w:jc w:val="both"/>
      </w:pPr>
      <w:r>
        <w:rPr>
          <w:rFonts w:ascii="Times New Roman" w:hAnsi="Times New Roman" w:eastAsia="Times New Roman"/>
          <w:color w:val="000000"/>
          <w:sz w:val="24"/>
        </w:rPr>
        <w:t>1.14 Aim and Objectives of the Study</w:t>
      </w:r>
    </w:p>
    <w:p>
      <w:pPr>
        <w:pStyle w:val="Heading3"/>
        <w:jc w:val="both"/>
      </w:pPr>
      <w:r>
        <w:rPr>
          <w:rFonts w:ascii="Times New Roman" w:hAnsi="Times New Roman" w:eastAsia="Times New Roman"/>
          <w:color w:val="000000"/>
          <w:sz w:val="24"/>
        </w:rPr>
        <w:t>Aim</w:t>
      </w:r>
    </w:p>
    <w:p>
      <w:pPr>
        <w:spacing w:line="360" w:lineRule="auto" w:after="0"/>
        <w:jc w:val="both"/>
      </w:pPr>
      <w:r>
        <w:rPr>
          <w:rFonts w:ascii="Times New Roman" w:hAnsi="Times New Roman" w:eastAsia="Times New Roman"/>
          <w:color w:val="000000"/>
          <w:sz w:val="24"/>
        </w:rPr>
        <w:t xml:space="preserve">The fundamental, overarching aim of this highly rigorous study is to definitively establish the acute in vivo toxicological safety profile and to systematically, quantitatively evaluate the potent in vitro antidysmenorrhea (tocolytic) efficacy of the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using the gold-standard murine experimental model.</w:t>
      </w:r>
    </w:p>
    <w:p>
      <w:pPr>
        <w:pStyle w:val="Heading3"/>
        <w:jc w:val="both"/>
      </w:pPr>
      <w:r>
        <w:rPr>
          <w:rFonts w:ascii="Times New Roman" w:hAnsi="Times New Roman" w:eastAsia="Times New Roman"/>
          <w:color w:val="000000"/>
          <w:sz w:val="24"/>
        </w:rPr>
        <w:t>Specific Objectives</w:t>
      </w:r>
    </w:p>
    <w:p>
      <w:pPr>
        <w:spacing w:line="360" w:lineRule="auto" w:after="0"/>
        <w:jc w:val="both"/>
      </w:pPr>
      <w:r>
        <w:rPr>
          <w:rFonts w:ascii="Times New Roman" w:hAnsi="Times New Roman" w:eastAsia="Times New Roman"/>
          <w:color w:val="000000"/>
          <w:sz w:val="24"/>
        </w:rPr>
        <w:t>To achieve this massive scientific aim, the study will aggressively execute the following specific, highly targeted methodological objectives:</w:t>
      </w:r>
    </w:p>
    <w:p>
      <w:pPr>
        <w:spacing w:line="360" w:lineRule="auto" w:after="0"/>
        <w:jc w:val="both"/>
      </w:pPr>
      <w:r>
        <w:rPr>
          <w:rFonts w:ascii="Times New Roman" w:hAnsi="Times New Roman" w:eastAsia="Times New Roman"/>
          <w:color w:val="000000"/>
          <w:sz w:val="24"/>
        </w:rPr>
        <w:t xml:space="preserve">1. To meticulously prepare a highly concentrated, standardized ethanolic extract from the dried flower buds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utilizing rigorous cold maceration techniques to ensure maximum yield of intact bioactive phytochemicals.</w:t>
      </w:r>
    </w:p>
    <w:p>
      <w:pPr>
        <w:spacing w:line="360" w:lineRule="auto" w:after="0"/>
        <w:jc w:val="both"/>
      </w:pPr>
      <w:r>
        <w:rPr>
          <w:rFonts w:ascii="Times New Roman" w:hAnsi="Times New Roman" w:eastAsia="Times New Roman"/>
          <w:color w:val="000000"/>
          <w:sz w:val="24"/>
        </w:rPr>
        <w:t>2. To definitively determine the precise acute oral toxicity and establish the absolute safety margin (NOAEL) of the ethanolic extract in live female mice by strictly adhering to the highly controlled, sequential dosing protocols mandated by the OECD Test Guideline 423.</w:t>
      </w:r>
    </w:p>
    <w:p>
      <w:pPr>
        <w:spacing w:line="360" w:lineRule="auto" w:after="0"/>
        <w:jc w:val="both"/>
      </w:pPr>
      <w:r>
        <w:rPr>
          <w:rFonts w:ascii="Times New Roman" w:hAnsi="Times New Roman" w:eastAsia="Times New Roman"/>
          <w:color w:val="000000"/>
          <w:sz w:val="24"/>
        </w:rPr>
        <w:t xml:space="preserve">3. To quantitatively measure and rigorously evaluate the direct, dose-dependent tocolytic effect of varying concentrations of the </w:t>
      </w:r>
      <w:r>
        <w:rPr>
          <w:rFonts w:ascii="Times New Roman" w:hAnsi="Times New Roman" w:eastAsia="Times New Roman"/>
          <w:i/>
          <w:color w:val="000000"/>
          <w:sz w:val="24"/>
        </w:rPr>
        <w:t>S. aromaticum</w:t>
      </w:r>
      <w:r>
        <w:rPr>
          <w:rFonts w:ascii="Times New Roman" w:hAnsi="Times New Roman" w:eastAsia="Times New Roman"/>
          <w:color w:val="000000"/>
          <w:sz w:val="24"/>
        </w:rPr>
        <w:t xml:space="preserve"> extract on the spontaneous, baseline rhythmic contractions of isolated, non-pregnant murine uterine horns suspended in a controlled, physiological tissue bath environment.</w:t>
      </w:r>
    </w:p>
    <w:p>
      <w:pPr>
        <w:spacing w:line="360" w:lineRule="auto" w:after="0"/>
        <w:jc w:val="both"/>
      </w:pPr>
      <w:r>
        <w:rPr>
          <w:rFonts w:ascii="Times New Roman" w:hAnsi="Times New Roman" w:eastAsia="Times New Roman"/>
          <w:color w:val="000000"/>
          <w:sz w:val="24"/>
        </w:rPr>
        <w:t xml:space="preserve">4. To systematically assess and quantify the potent antispasmodic capacity of the </w:t>
      </w:r>
      <w:r>
        <w:rPr>
          <w:rFonts w:ascii="Times New Roman" w:hAnsi="Times New Roman" w:eastAsia="Times New Roman"/>
          <w:i/>
          <w:color w:val="000000"/>
          <w:sz w:val="24"/>
        </w:rPr>
        <w:t>S. aromaticum</w:t>
      </w:r>
      <w:r>
        <w:rPr>
          <w:rFonts w:ascii="Times New Roman" w:hAnsi="Times New Roman" w:eastAsia="Times New Roman"/>
          <w:color w:val="000000"/>
          <w:sz w:val="24"/>
        </w:rPr>
        <w:t xml:space="preserve"> extract to rapidly neutralize and completely reverse the severe, tetanic uterine hypercontractility specifically induced by the administration of exogenous oxytocin in the isolated murine uterine model.</w:t>
      </w:r>
    </w:p>
    <w:p>
      <w:r>
        <w:br w:type="page"/>
      </w:r>
    </w:p>
    <w:p>
      <w:pPr>
        <w:pStyle w:val="Heading1"/>
        <w:jc w:val="center"/>
      </w:pPr>
      <w:r>
        <w:rPr>
          <w:rFonts w:ascii="Times New Roman" w:hAnsi="Times New Roman" w:eastAsia="Times New Roman"/>
          <w:color w:val="000000"/>
          <w:sz w:val="28"/>
        </w:rPr>
        <w:t>REFERENCES</w:t>
      </w:r>
    </w:p>
    <w:p>
      <w:pPr>
        <w:spacing w:line="360" w:lineRule="auto" w:after="0"/>
        <w:jc w:val="both"/>
      </w:pPr>
      <w:r>
        <w:rPr>
          <w:rFonts w:ascii="Times New Roman" w:hAnsi="Times New Roman" w:eastAsia="Times New Roman"/>
          <w:color w:val="000000"/>
          <w:sz w:val="24"/>
        </w:rPr>
        <w:t xml:space="preserve">Agbaje, E. O., Adeneye, A. A., &amp; Daramola, A. O. (2010). Biochemical and toxicological studies of aqueous extract of Syzigium aromaticum (L.) Merr. &amp; Perry (Myrtaceae) in rodents. </w:t>
      </w:r>
      <w:r>
        <w:rPr>
          <w:rFonts w:ascii="Times New Roman" w:hAnsi="Times New Roman" w:eastAsia="Times New Roman"/>
          <w:i/>
          <w:color w:val="000000"/>
          <w:sz w:val="24"/>
        </w:rPr>
        <w:t>African Journal of Traditional, Complementary and Alternative Medicines</w:t>
      </w:r>
      <w:r>
        <w:rPr>
          <w:rFonts w:ascii="Times New Roman" w:hAnsi="Times New Roman" w:eastAsia="Times New Roman"/>
          <w:color w:val="000000"/>
          <w:sz w:val="24"/>
        </w:rPr>
        <w:t xml:space="preserve">, 6(3), 241–254. </w:t>
      </w:r>
      <w:hyperlink r:id="rId10">
        <w:r>
          <w:rPr>
            <w:color w:val="0000FF"/>
            <w:u w:val="single"/>
          </w:rPr>
          <w:t>source</w:t>
        </w:r>
      </w:hyperlink>
    </w:p>
    <w:p>
      <w:pPr>
        <w:spacing w:line="360" w:lineRule="auto" w:after="0"/>
        <w:jc w:val="both"/>
      </w:pPr>
      <w:r>
        <w:rPr>
          <w:rFonts w:ascii="Times New Roman" w:hAnsi="Times New Roman" w:eastAsia="Times New Roman"/>
          <w:color w:val="000000"/>
          <w:sz w:val="24"/>
        </w:rPr>
        <w:t xml:space="preserve">Akerlund, M. (1979). Pathophysiology of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xml:space="preserve">, 58(S87), 27–32. </w:t>
      </w:r>
      <w:hyperlink r:id="rId11">
        <w:r>
          <w:rPr>
            <w:color w:val="0000FF"/>
            <w:u w:val="single"/>
          </w:rPr>
          <w:t>source</w:t>
        </w:r>
      </w:hyperlink>
    </w:p>
    <w:p>
      <w:pPr>
        <w:spacing w:line="360" w:lineRule="auto" w:after="0"/>
        <w:jc w:val="both"/>
      </w:pPr>
      <w:r>
        <w:rPr>
          <w:rFonts w:ascii="Times New Roman" w:hAnsi="Times New Roman" w:eastAsia="Times New Roman"/>
          <w:color w:val="000000"/>
          <w:sz w:val="24"/>
        </w:rPr>
        <w:t xml:space="preserve">Akerlund, M. (1979). Pathophysiology of dysmenorrhea. </w:t>
      </w:r>
      <w:r>
        <w:rPr>
          <w:rFonts w:ascii="Times New Roman" w:hAnsi="Times New Roman" w:eastAsia="Times New Roman"/>
          <w:i/>
          <w:color w:val="000000"/>
          <w:sz w:val="24"/>
        </w:rPr>
        <w:t>Acta Obstetricia et Gynecologica Scandinavica. Supplement</w:t>
      </w:r>
      <w:r>
        <w:rPr>
          <w:rFonts w:ascii="Times New Roman" w:hAnsi="Times New Roman" w:eastAsia="Times New Roman"/>
          <w:color w:val="000000"/>
          <w:sz w:val="24"/>
        </w:rPr>
        <w:t xml:space="preserve">, 87, 27–32. </w:t>
      </w:r>
      <w:hyperlink r:id="rId11">
        <w:r>
          <w:rPr>
            <w:color w:val="0000FF"/>
            <w:u w:val="single"/>
          </w:rPr>
          <w:t>source</w:t>
        </w:r>
      </w:hyperlink>
      <w:r>
        <w:rPr>
          <w:rFonts w:ascii="Times New Roman" w:hAnsi="Times New Roman" w:eastAsia="Times New Roman"/>
          <w:color w:val="000000"/>
          <w:sz w:val="24"/>
        </w:rPr>
        <w:t xml:space="preserve"> </w:t>
      </w:r>
    </w:p>
    <w:p>
      <w:pPr>
        <w:spacing w:line="360" w:lineRule="auto" w:after="0"/>
        <w:jc w:val="both"/>
      </w:pPr>
      <w:r>
        <w:rPr>
          <w:rFonts w:ascii="Times New Roman" w:hAnsi="Times New Roman" w:eastAsia="Times New Roman"/>
          <w:color w:val="000000"/>
          <w:sz w:val="24"/>
        </w:rPr>
        <w:t xml:space="preserve">Al-Zereini, W. A., Al-Trawneh, I. N., Al-Qudah, M. A., &amp; Qaralleh, H. (2023). Antibacterial, antioxidant, and cytotoxic activities of Syzygium aromaticum (L.) Merr. &amp; Perry essential oil with identification of its chemical constituents. </w:t>
      </w:r>
      <w:r>
        <w:rPr>
          <w:rFonts w:ascii="Times New Roman" w:hAnsi="Times New Roman" w:eastAsia="Times New Roman"/>
          <w:i/>
          <w:color w:val="000000"/>
          <w:sz w:val="24"/>
        </w:rPr>
        <w:t>Zeitschrift für Naturforschung C</w:t>
      </w:r>
      <w:r>
        <w:rPr>
          <w:rFonts w:ascii="Times New Roman" w:hAnsi="Times New Roman" w:eastAsia="Times New Roman"/>
          <w:color w:val="000000"/>
          <w:sz w:val="24"/>
        </w:rPr>
        <w:t xml:space="preserve">, 78(3–4), 105–112. </w:t>
      </w:r>
      <w:hyperlink r:id="rId12">
        <w:r>
          <w:rPr>
            <w:color w:val="0000FF"/>
            <w:u w:val="single"/>
          </w:rPr>
          <w:t>source</w:t>
        </w:r>
      </w:hyperlink>
    </w:p>
    <w:p>
      <w:pPr>
        <w:spacing w:line="360" w:lineRule="auto" w:after="0"/>
        <w:jc w:val="both"/>
      </w:pPr>
      <w:r>
        <w:rPr>
          <w:rFonts w:ascii="Times New Roman" w:hAnsi="Times New Roman" w:eastAsia="Times New Roman"/>
          <w:color w:val="000000"/>
          <w:sz w:val="24"/>
        </w:rPr>
        <w:t xml:space="preserve">Alma, M. H., Ertas, M., Nitz, S., &amp; Kollmannsberger, H. (2007). Chemical composition and content of essential oil from the bud of cultivated Turkish clove (Syzygium aromaticum L.). </w:t>
      </w:r>
      <w:r>
        <w:rPr>
          <w:rFonts w:ascii="Times New Roman" w:hAnsi="Times New Roman" w:eastAsia="Times New Roman"/>
          <w:i/>
          <w:color w:val="000000"/>
          <w:sz w:val="24"/>
        </w:rPr>
        <w:t>BioResources</w:t>
      </w:r>
      <w:r>
        <w:rPr>
          <w:rFonts w:ascii="Times New Roman" w:hAnsi="Times New Roman" w:eastAsia="Times New Roman"/>
          <w:color w:val="000000"/>
          <w:sz w:val="24"/>
        </w:rPr>
        <w:t xml:space="preserve">, 2(2), 265–269. </w:t>
      </w:r>
      <w:hyperlink r:id="rId13">
        <w:r>
          <w:rPr>
            <w:color w:val="0000FF"/>
            <w:u w:val="single"/>
          </w:rPr>
          <w:t>source</w:t>
        </w:r>
      </w:hyperlink>
    </w:p>
    <w:p>
      <w:pPr>
        <w:spacing w:line="360" w:lineRule="auto" w:after="0"/>
        <w:jc w:val="both"/>
      </w:pPr>
      <w:r>
        <w:rPr>
          <w:rFonts w:ascii="Times New Roman" w:hAnsi="Times New Roman" w:eastAsia="Times New Roman"/>
          <w:color w:val="000000"/>
          <w:sz w:val="24"/>
        </w:rPr>
        <w:t xml:space="preserve">Altunyurt, S., Göl, M., Altunyurt, S., Sezer, O., &amp; Demir, N. (2005). Primary dysmenorrhea and uterine blood flow: A color Doppler study. </w:t>
      </w:r>
      <w:r>
        <w:rPr>
          <w:rFonts w:ascii="Times New Roman" w:hAnsi="Times New Roman" w:eastAsia="Times New Roman"/>
          <w:i/>
          <w:color w:val="000000"/>
          <w:sz w:val="24"/>
        </w:rPr>
        <w:t>Journal of Reproductive Medicine</w:t>
      </w:r>
      <w:r>
        <w:rPr>
          <w:rFonts w:ascii="Times New Roman" w:hAnsi="Times New Roman" w:eastAsia="Times New Roman"/>
          <w:color w:val="000000"/>
          <w:sz w:val="24"/>
        </w:rPr>
        <w:t>, 50(4), 251–255.</w:t>
      </w:r>
    </w:p>
    <w:p>
      <w:pPr>
        <w:spacing w:line="360" w:lineRule="auto" w:after="0"/>
        <w:jc w:val="both"/>
      </w:pPr>
      <w:r>
        <w:rPr>
          <w:rFonts w:ascii="Times New Roman" w:hAnsi="Times New Roman" w:eastAsia="Times New Roman"/>
          <w:color w:val="000000"/>
          <w:sz w:val="24"/>
        </w:rPr>
        <w:t xml:space="preserve">Ameade, E. P. K., Amalba, A., &amp; Mohammed, B. S. (2018). Prevalence of dysmenorrhea among University students in Northern Ghana; its impact and management strategies. </w:t>
      </w:r>
      <w:r>
        <w:rPr>
          <w:rFonts w:ascii="Times New Roman" w:hAnsi="Times New Roman" w:eastAsia="Times New Roman"/>
          <w:i/>
          <w:color w:val="000000"/>
          <w:sz w:val="24"/>
        </w:rPr>
        <w:t>BMC Women's Health</w:t>
      </w:r>
      <w:r>
        <w:rPr>
          <w:rFonts w:ascii="Times New Roman" w:hAnsi="Times New Roman" w:eastAsia="Times New Roman"/>
          <w:color w:val="000000"/>
          <w:sz w:val="24"/>
        </w:rPr>
        <w:t xml:space="preserve">, 18, 39. </w:t>
      </w:r>
      <w:hyperlink r:id="rId14">
        <w:r>
          <w:rPr>
            <w:color w:val="0000FF"/>
            <w:u w:val="single"/>
          </w:rPr>
          <w:t>source</w:t>
        </w:r>
      </w:hyperlink>
    </w:p>
    <w:p>
      <w:pPr>
        <w:spacing w:line="360" w:lineRule="auto" w:after="0"/>
        <w:jc w:val="both"/>
      </w:pPr>
      <w:r>
        <w:rPr>
          <w:rFonts w:ascii="Times New Roman" w:hAnsi="Times New Roman" w:eastAsia="Times New Roman"/>
          <w:color w:val="000000"/>
          <w:sz w:val="24"/>
        </w:rPr>
        <w:t xml:space="preserve">American College of Obstetricians and Gynecologists. (2018). ACOG Committee Opinion No. 760: Dysmenorrhea and endometriosis in the adolescent.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xml:space="preserve">, 132(6), e249–e258. </w:t>
      </w:r>
      <w:hyperlink r:id="rId15">
        <w:r>
          <w:rPr>
            <w:color w:val="0000FF"/>
            <w:u w:val="single"/>
          </w:rPr>
          <w:t>source</w:t>
        </w:r>
      </w:hyperlink>
    </w:p>
    <w:p>
      <w:pPr>
        <w:spacing w:line="360" w:lineRule="auto" w:after="0"/>
        <w:jc w:val="both"/>
      </w:pPr>
      <w:r>
        <w:rPr>
          <w:rFonts w:ascii="Times New Roman" w:hAnsi="Times New Roman" w:eastAsia="Times New Roman"/>
          <w:color w:val="000000"/>
          <w:sz w:val="24"/>
        </w:rPr>
        <w:t xml:space="preserve">Anggitasari, W. (2018). Test for analgesic effects of clove leaf oil (Syzygium aromaticum) on Balb/C strain male mice. </w:t>
      </w:r>
      <w:r>
        <w:rPr>
          <w:rFonts w:ascii="Times New Roman" w:hAnsi="Times New Roman" w:eastAsia="Times New Roman"/>
          <w:i/>
          <w:color w:val="000000"/>
          <w:sz w:val="24"/>
        </w:rPr>
        <w:t>Jurnal Kesehatan dr. Soebandi</w:t>
      </w:r>
      <w:r>
        <w:rPr>
          <w:rFonts w:ascii="Times New Roman" w:hAnsi="Times New Roman" w:eastAsia="Times New Roman"/>
          <w:color w:val="000000"/>
          <w:sz w:val="24"/>
        </w:rPr>
        <w:t xml:space="preserve">, 6(2), 16–20. </w:t>
      </w:r>
      <w:hyperlink r:id="rId16">
        <w:r>
          <w:rPr>
            <w:color w:val="0000FF"/>
            <w:u w:val="single"/>
          </w:rPr>
          <w:t>source</w:t>
        </w:r>
      </w:hyperlink>
    </w:p>
    <w:p>
      <w:pPr>
        <w:spacing w:line="360" w:lineRule="auto" w:after="0"/>
        <w:jc w:val="both"/>
      </w:pPr>
      <w:r>
        <w:rPr>
          <w:rFonts w:ascii="Times New Roman" w:hAnsi="Times New Roman" w:eastAsia="Times New Roman"/>
          <w:color w:val="000000"/>
          <w:sz w:val="24"/>
        </w:rPr>
        <w:t xml:space="preserve">Awouters, F., Niemegeers, C. J. E., &amp; Janssen, P. A. J. (1988). The biological activity of eugenol, a major constituent of nutmeg (Myristica fragrans): Studies on prostaglandins, the intestine and other tissues.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xml:space="preserve">, 2(3), 129–133. </w:t>
      </w:r>
      <w:hyperlink r:id="rId17">
        <w:r>
          <w:rPr>
            <w:color w:val="0000FF"/>
            <w:u w:val="single"/>
          </w:rPr>
          <w:t>source</w:t>
        </w:r>
      </w:hyperlink>
    </w:p>
    <w:p>
      <w:pPr>
        <w:spacing w:line="360" w:lineRule="auto" w:after="0"/>
        <w:jc w:val="both"/>
      </w:pPr>
      <w:r>
        <w:rPr>
          <w:rFonts w:ascii="Times New Roman" w:hAnsi="Times New Roman" w:eastAsia="Times New Roman"/>
          <w:color w:val="000000"/>
          <w:sz w:val="24"/>
        </w:rPr>
        <w:t xml:space="preserve">Aziz, M. A., Khan, A. H., Adnan, M., &amp; Ullah, H. (2018). Traditional phytomedicines for gynecological problems used by tribal communities of Mohmand Agency near the Pak-Afghan border area. </w:t>
      </w:r>
      <w:r>
        <w:rPr>
          <w:rFonts w:ascii="Times New Roman" w:hAnsi="Times New Roman" w:eastAsia="Times New Roman"/>
          <w:i/>
          <w:color w:val="000000"/>
          <w:sz w:val="24"/>
        </w:rPr>
        <w:t>Revista Brasileira de Farmacognosia</w:t>
      </w:r>
      <w:r>
        <w:rPr>
          <w:rFonts w:ascii="Times New Roman" w:hAnsi="Times New Roman" w:eastAsia="Times New Roman"/>
          <w:color w:val="000000"/>
          <w:sz w:val="24"/>
        </w:rPr>
        <w:t xml:space="preserve">, 28(3), 365–373. </w:t>
      </w:r>
      <w:hyperlink r:id="rId18">
        <w:r>
          <w:rPr>
            <w:color w:val="0000FF"/>
            <w:u w:val="single"/>
          </w:rPr>
          <w:t>source</w:t>
        </w:r>
      </w:hyperlink>
    </w:p>
    <w:p>
      <w:pPr>
        <w:spacing w:line="360" w:lineRule="auto" w:after="0"/>
        <w:jc w:val="both"/>
      </w:pPr>
      <w:r>
        <w:rPr>
          <w:rFonts w:ascii="Times New Roman" w:hAnsi="Times New Roman" w:eastAsia="Times New Roman"/>
          <w:color w:val="000000"/>
          <w:sz w:val="24"/>
        </w:rPr>
        <w:t xml:space="preserve">Bachiega, T. F., de Sousa, J. P. B., Bastos, J. K., &amp; Sforcin, J. M. (2012). Clove and eugenol in noncytotoxic concentrations exert immunomodulatory/anti-inflammatory action on cytokine production by murine macrophages. </w:t>
      </w:r>
      <w:r>
        <w:rPr>
          <w:rFonts w:ascii="Times New Roman" w:hAnsi="Times New Roman" w:eastAsia="Times New Roman"/>
          <w:i/>
          <w:color w:val="000000"/>
          <w:sz w:val="24"/>
        </w:rPr>
        <w:t>Journal of Pharmacy and Pharmacology</w:t>
      </w:r>
      <w:r>
        <w:rPr>
          <w:rFonts w:ascii="Times New Roman" w:hAnsi="Times New Roman" w:eastAsia="Times New Roman"/>
          <w:color w:val="000000"/>
          <w:sz w:val="24"/>
        </w:rPr>
        <w:t xml:space="preserve">, 64(4), 610–616. </w:t>
      </w:r>
      <w:hyperlink r:id="rId19">
        <w:r>
          <w:rPr>
            <w:color w:val="0000FF"/>
            <w:u w:val="single"/>
          </w:rPr>
          <w:t>source</w:t>
        </w:r>
      </w:hyperlink>
    </w:p>
    <w:p>
      <w:pPr>
        <w:spacing w:line="360" w:lineRule="auto" w:after="0"/>
        <w:jc w:val="both"/>
      </w:pPr>
      <w:r>
        <w:rPr>
          <w:rFonts w:ascii="Times New Roman" w:hAnsi="Times New Roman" w:eastAsia="Times New Roman"/>
          <w:color w:val="000000"/>
          <w:sz w:val="24"/>
        </w:rPr>
        <w:t xml:space="preserve">Barcikowska, Z., Rajkowska-Labon, E., Grzybowska, M. E., Hansdorfer-Korzon, R., &amp; Zorena, K. (2020). Inflammatory markers in dysmenorrhea and therapeutic options. </w:t>
      </w:r>
      <w:r>
        <w:rPr>
          <w:rFonts w:ascii="Times New Roman" w:hAnsi="Times New Roman" w:eastAsia="Times New Roman"/>
          <w:i/>
          <w:color w:val="000000"/>
          <w:sz w:val="24"/>
        </w:rPr>
        <w:t>Journal of Clinical Medicine</w:t>
      </w:r>
      <w:r>
        <w:rPr>
          <w:rFonts w:ascii="Times New Roman" w:hAnsi="Times New Roman" w:eastAsia="Times New Roman"/>
          <w:color w:val="000000"/>
          <w:sz w:val="24"/>
        </w:rPr>
        <w:t xml:space="preserve">, 9(5), 1454. </w:t>
      </w:r>
      <w:hyperlink r:id="rId20">
        <w:r>
          <w:rPr>
            <w:color w:val="0000FF"/>
            <w:u w:val="single"/>
          </w:rPr>
          <w:t>source</w:t>
        </w:r>
      </w:hyperlink>
    </w:p>
    <w:p>
      <w:pPr>
        <w:spacing w:line="360" w:lineRule="auto" w:after="0"/>
        <w:jc w:val="both"/>
      </w:pPr>
      <w:r>
        <w:rPr>
          <w:rFonts w:ascii="Times New Roman" w:hAnsi="Times New Roman" w:eastAsia="Times New Roman"/>
          <w:color w:val="000000"/>
          <w:sz w:val="24"/>
        </w:rPr>
        <w:t xml:space="preserve">Batiha, G. E., Alkazmi, L. M., Wasef, L. G., Beshbishy, A. M., Nadwa, E. H., &amp; Rashwan, E. K. (2020). Syzygium aromaticum L. (Myrtaceae): Traditional uses, bioactive chemical constituents, pharmacological and toxicological activities. </w:t>
      </w:r>
      <w:r>
        <w:rPr>
          <w:rFonts w:ascii="Times New Roman" w:hAnsi="Times New Roman" w:eastAsia="Times New Roman"/>
          <w:i/>
          <w:color w:val="000000"/>
          <w:sz w:val="24"/>
        </w:rPr>
        <w:t>Biomolecules</w:t>
      </w:r>
      <w:r>
        <w:rPr>
          <w:rFonts w:ascii="Times New Roman" w:hAnsi="Times New Roman" w:eastAsia="Times New Roman"/>
          <w:color w:val="000000"/>
          <w:sz w:val="24"/>
        </w:rPr>
        <w:t xml:space="preserve">, 10(2), 202. </w:t>
      </w:r>
      <w:hyperlink r:id="rId21">
        <w:r>
          <w:rPr>
            <w:color w:val="0000FF"/>
            <w:u w:val="single"/>
          </w:rPr>
          <w:t>source</w:t>
        </w:r>
      </w:hyperlink>
    </w:p>
    <w:p>
      <w:pPr>
        <w:spacing w:line="360" w:lineRule="auto" w:after="0"/>
        <w:jc w:val="both"/>
      </w:pPr>
      <w:r>
        <w:rPr>
          <w:rFonts w:ascii="Times New Roman" w:hAnsi="Times New Roman" w:eastAsia="Times New Roman"/>
          <w:color w:val="000000"/>
          <w:sz w:val="24"/>
        </w:rPr>
        <w:t xml:space="preserve">Bhosle, R., Dighe, S., Kute, D., Ahuja, G., Ahuja, G., &amp; Laddha, K. (2022). Variation in the oil content in different parts of clove bud and from different geographical regions. </w:t>
      </w:r>
      <w:r>
        <w:rPr>
          <w:rFonts w:ascii="Times New Roman" w:hAnsi="Times New Roman" w:eastAsia="Times New Roman"/>
          <w:i/>
          <w:color w:val="000000"/>
          <w:sz w:val="24"/>
        </w:rPr>
        <w:t>Journal of Spices and Aromatic Crops</w:t>
      </w:r>
      <w:r>
        <w:rPr>
          <w:rFonts w:ascii="Times New Roman" w:hAnsi="Times New Roman" w:eastAsia="Times New Roman"/>
          <w:color w:val="000000"/>
          <w:sz w:val="24"/>
        </w:rPr>
        <w:t xml:space="preserve">, 31(1), 97–99. </w:t>
      </w:r>
      <w:hyperlink r:id="rId22">
        <w:r>
          <w:rPr>
            <w:color w:val="0000FF"/>
            <w:u w:val="single"/>
          </w:rPr>
          <w:t>source</w:t>
        </w:r>
      </w:hyperlink>
    </w:p>
    <w:p>
      <w:pPr>
        <w:spacing w:line="360" w:lineRule="auto" w:after="0"/>
        <w:jc w:val="both"/>
      </w:pPr>
      <w:r>
        <w:rPr>
          <w:rFonts w:ascii="Times New Roman" w:hAnsi="Times New Roman" w:eastAsia="Times New Roman"/>
          <w:color w:val="000000"/>
          <w:sz w:val="24"/>
        </w:rPr>
        <w:t xml:space="preserve">Burnett, M., &amp; Lemyre, M. (2017). No. 345-Primary Dysmenorrhea Consensus Guideline. </w:t>
      </w:r>
      <w:r>
        <w:rPr>
          <w:rFonts w:ascii="Times New Roman" w:hAnsi="Times New Roman" w:eastAsia="Times New Roman"/>
          <w:i/>
          <w:color w:val="000000"/>
          <w:sz w:val="24"/>
        </w:rPr>
        <w:t>Journal of Obstetrics and Gynaecology Canada</w:t>
      </w:r>
      <w:r>
        <w:rPr>
          <w:rFonts w:ascii="Times New Roman" w:hAnsi="Times New Roman" w:eastAsia="Times New Roman"/>
          <w:color w:val="000000"/>
          <w:sz w:val="24"/>
        </w:rPr>
        <w:t xml:space="preserve">, 39(7), 585–595. </w:t>
      </w:r>
      <w:hyperlink r:id="rId23">
        <w:r>
          <w:rPr>
            <w:color w:val="0000FF"/>
            <w:u w:val="single"/>
          </w:rPr>
          <w:t>source</w:t>
        </w:r>
      </w:hyperlink>
    </w:p>
    <w:p>
      <w:pPr>
        <w:spacing w:line="360" w:lineRule="auto" w:after="0"/>
        <w:jc w:val="both"/>
      </w:pPr>
      <w:r>
        <w:rPr>
          <w:rFonts w:ascii="Times New Roman" w:hAnsi="Times New Roman" w:eastAsia="Times New Roman"/>
          <w:color w:val="000000"/>
          <w:sz w:val="24"/>
        </w:rPr>
        <w:t xml:space="preserve">Burnett, M., &amp; Lemyre, M. (2017). No. 345-Primary dysmenorrhea consensus guideline. </w:t>
      </w:r>
      <w:r>
        <w:rPr>
          <w:rFonts w:ascii="Times New Roman" w:hAnsi="Times New Roman" w:eastAsia="Times New Roman"/>
          <w:i/>
          <w:color w:val="000000"/>
          <w:sz w:val="24"/>
        </w:rPr>
        <w:t>Journal of Obstetrics and Gynaecology Canada</w:t>
      </w:r>
      <w:r>
        <w:rPr>
          <w:rFonts w:ascii="Times New Roman" w:hAnsi="Times New Roman" w:eastAsia="Times New Roman"/>
          <w:color w:val="000000"/>
          <w:sz w:val="24"/>
        </w:rPr>
        <w:t xml:space="preserve">, 39(7), 585–595. </w:t>
      </w:r>
      <w:hyperlink r:id="rId23">
        <w:r>
          <w:rPr>
            <w:color w:val="0000FF"/>
            <w:u w:val="single"/>
          </w:rPr>
          <w:t>source</w:t>
        </w:r>
      </w:hyperlink>
    </w:p>
    <w:p>
      <w:pPr>
        <w:spacing w:line="360" w:lineRule="auto" w:after="0"/>
        <w:jc w:val="both"/>
      </w:pPr>
      <w:r>
        <w:rPr>
          <w:rFonts w:ascii="Times New Roman" w:hAnsi="Times New Roman" w:eastAsia="Times New Roman"/>
          <w:color w:val="000000"/>
          <w:sz w:val="24"/>
        </w:rPr>
        <w:t xml:space="preserve">Cai, L., &amp; Wu, C. D. (1996). Compounds from Syzygium aromaticum possessing growth inhibitory activity against oral pathogens. </w:t>
      </w:r>
      <w:r>
        <w:rPr>
          <w:rFonts w:ascii="Times New Roman" w:hAnsi="Times New Roman" w:eastAsia="Times New Roman"/>
          <w:i/>
          <w:color w:val="000000"/>
          <w:sz w:val="24"/>
        </w:rPr>
        <w:t>Journal of Natural Products</w:t>
      </w:r>
      <w:r>
        <w:rPr>
          <w:rFonts w:ascii="Times New Roman" w:hAnsi="Times New Roman" w:eastAsia="Times New Roman"/>
          <w:color w:val="000000"/>
          <w:sz w:val="24"/>
        </w:rPr>
        <w:t xml:space="preserve">, 59(10), 987–990. </w:t>
      </w:r>
      <w:hyperlink r:id="rId24">
        <w:r>
          <w:rPr>
            <w:color w:val="0000FF"/>
            <w:u w:val="single"/>
          </w:rPr>
          <w:t>source</w:t>
        </w:r>
      </w:hyperlink>
    </w:p>
    <w:p>
      <w:pPr>
        <w:spacing w:line="360" w:lineRule="auto" w:after="0"/>
        <w:jc w:val="both"/>
      </w:pPr>
      <w:r>
        <w:rPr>
          <w:rFonts w:ascii="Times New Roman" w:hAnsi="Times New Roman" w:eastAsia="Times New Roman"/>
          <w:color w:val="000000"/>
          <w:sz w:val="24"/>
        </w:rPr>
        <w:t xml:space="preserve">Chaieb, K., Hajlaoui, H., Zmantar, T., Kahla-Nakbi, A. B., Rouabhia, M., Mahdouani, K., &amp; Bakhrouf, A. (2007). The chemical composition and biological activity of clove essential oil, Eugenia caryophyllata (Syzigium aromaticum L. Myrtaceae): A short review.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xml:space="preserve">, 21(6), 501–506. </w:t>
      </w:r>
      <w:hyperlink r:id="rId25">
        <w:r>
          <w:rPr>
            <w:color w:val="0000FF"/>
            <w:u w:val="single"/>
          </w:rPr>
          <w:t>source</w:t>
        </w:r>
      </w:hyperlink>
    </w:p>
    <w:p>
      <w:pPr>
        <w:spacing w:line="360" w:lineRule="auto" w:after="0"/>
        <w:jc w:val="both"/>
      </w:pPr>
      <w:r>
        <w:rPr>
          <w:rFonts w:ascii="Times New Roman" w:hAnsi="Times New Roman" w:eastAsia="Times New Roman"/>
          <w:color w:val="000000"/>
          <w:sz w:val="24"/>
        </w:rPr>
        <w:t xml:space="preserve">Chan, W. Y., Dawood, M. Y., &amp; Fuchs, F. (1979). Relief of dysmenorrhea with the prostaglandin synthetase inhibitor ibuprofen: Effect on prostaglandin levels in menstrual fluid.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xml:space="preserve">, 135(1), 102–108. </w:t>
      </w:r>
      <w:hyperlink r:id="rId26">
        <w:r>
          <w:rPr>
            <w:color w:val="0000FF"/>
            <w:u w:val="single"/>
          </w:rPr>
          <w:t>source</w:t>
        </w:r>
      </w:hyperlink>
      <w:r>
        <w:rPr>
          <w:rFonts w:ascii="Times New Roman" w:hAnsi="Times New Roman" w:eastAsia="Times New Roman"/>
          <w:color w:val="000000"/>
          <w:sz w:val="24"/>
        </w:rPr>
        <w:t>90176-7)</w:t>
      </w:r>
    </w:p>
    <w:p>
      <w:pPr>
        <w:spacing w:line="360" w:lineRule="auto" w:after="0"/>
        <w:jc w:val="both"/>
      </w:pPr>
      <w:r>
        <w:rPr>
          <w:rFonts w:ascii="Times New Roman" w:hAnsi="Times New Roman" w:eastAsia="Times New Roman"/>
          <w:color w:val="000000"/>
          <w:sz w:val="24"/>
        </w:rPr>
        <w:t xml:space="preserve">Damiani, C. E., Rossoni, L. V., &amp; Vassallo, D. V. (2003). Vasorelaxant effects of eugenol on rat thoracic aorta. </w:t>
      </w:r>
      <w:r>
        <w:rPr>
          <w:rFonts w:ascii="Times New Roman" w:hAnsi="Times New Roman" w:eastAsia="Times New Roman"/>
          <w:i/>
          <w:color w:val="000000"/>
          <w:sz w:val="24"/>
        </w:rPr>
        <w:t>Vascular Pharmacology</w:t>
      </w:r>
      <w:r>
        <w:rPr>
          <w:rFonts w:ascii="Times New Roman" w:hAnsi="Times New Roman" w:eastAsia="Times New Roman"/>
          <w:color w:val="000000"/>
          <w:sz w:val="24"/>
        </w:rPr>
        <w:t xml:space="preserve">, 40(1), 59–66. </w:t>
      </w:r>
      <w:hyperlink r:id="rId27">
        <w:r>
          <w:rPr>
            <w:color w:val="0000FF"/>
            <w:u w:val="single"/>
          </w:rPr>
          <w:t>source</w:t>
        </w:r>
      </w:hyperlink>
      <w:r>
        <w:rPr>
          <w:rFonts w:ascii="Times New Roman" w:hAnsi="Times New Roman" w:eastAsia="Times New Roman"/>
          <w:color w:val="000000"/>
          <w:sz w:val="24"/>
        </w:rPr>
        <w:t>00311-7)</w:t>
      </w:r>
    </w:p>
    <w:p>
      <w:pPr>
        <w:spacing w:line="360" w:lineRule="auto" w:after="0"/>
        <w:jc w:val="both"/>
      </w:pPr>
      <w:r>
        <w:rPr>
          <w:rFonts w:ascii="Times New Roman" w:hAnsi="Times New Roman" w:eastAsia="Times New Roman"/>
          <w:color w:val="000000"/>
          <w:sz w:val="24"/>
        </w:rPr>
        <w:t xml:space="preserve">Daniel, A. N., Sartoretto, S. M., Schmidt, G., Caparroz-Assef, S. M., Bersani-Amado, C. A., &amp; Cuman, R. K. N. (2009). Anti-inflammatory and antinociceptive activities of eugenol essential oil in experimental animal models. </w:t>
      </w:r>
      <w:r>
        <w:rPr>
          <w:rFonts w:ascii="Times New Roman" w:hAnsi="Times New Roman" w:eastAsia="Times New Roman"/>
          <w:i/>
          <w:color w:val="000000"/>
          <w:sz w:val="24"/>
        </w:rPr>
        <w:t>Revista Brasileira de Farmacognosia</w:t>
      </w:r>
      <w:r>
        <w:rPr>
          <w:rFonts w:ascii="Times New Roman" w:hAnsi="Times New Roman" w:eastAsia="Times New Roman"/>
          <w:color w:val="000000"/>
          <w:sz w:val="24"/>
        </w:rPr>
        <w:t xml:space="preserve">, 19(1B), 212–217. </w:t>
      </w:r>
      <w:hyperlink r:id="rId28">
        <w:r>
          <w:rPr>
            <w:color w:val="0000FF"/>
            <w:u w:val="single"/>
          </w:rPr>
          <w:t>source</w:t>
        </w:r>
      </w:hyperlink>
    </w:p>
    <w:p>
      <w:pPr>
        <w:spacing w:line="360" w:lineRule="auto" w:after="0"/>
        <w:jc w:val="both"/>
      </w:pPr>
      <w:r>
        <w:rPr>
          <w:rFonts w:ascii="Times New Roman" w:hAnsi="Times New Roman" w:eastAsia="Times New Roman"/>
          <w:color w:val="000000"/>
          <w:sz w:val="24"/>
        </w:rPr>
        <w:t xml:space="preserve">Dawood, M. Y. (1984). Ibuprofen and dysmenorrhea. </w:t>
      </w:r>
      <w:r>
        <w:rPr>
          <w:rFonts w:ascii="Times New Roman" w:hAnsi="Times New Roman" w:eastAsia="Times New Roman"/>
          <w:i/>
          <w:color w:val="000000"/>
          <w:sz w:val="24"/>
        </w:rPr>
        <w:t>American Journal of Medicine</w:t>
      </w:r>
      <w:r>
        <w:rPr>
          <w:rFonts w:ascii="Times New Roman" w:hAnsi="Times New Roman" w:eastAsia="Times New Roman"/>
          <w:color w:val="000000"/>
          <w:sz w:val="24"/>
        </w:rPr>
        <w:t xml:space="preserve">, 77(1), 87–94. </w:t>
      </w:r>
      <w:hyperlink r:id="rId29">
        <w:r>
          <w:rPr>
            <w:color w:val="0000FF"/>
            <w:u w:val="single"/>
          </w:rPr>
          <w:t>source</w:t>
        </w:r>
      </w:hyperlink>
      <w:r>
        <w:rPr>
          <w:rFonts w:ascii="Times New Roman" w:hAnsi="Times New Roman" w:eastAsia="Times New Roman"/>
          <w:color w:val="000000"/>
          <w:sz w:val="24"/>
        </w:rPr>
        <w:t>80025-X)</w:t>
      </w:r>
    </w:p>
    <w:p>
      <w:pPr>
        <w:spacing w:line="360" w:lineRule="auto" w:after="0"/>
        <w:jc w:val="both"/>
      </w:pPr>
      <w:r>
        <w:rPr>
          <w:rFonts w:ascii="Times New Roman" w:hAnsi="Times New Roman" w:eastAsia="Times New Roman"/>
          <w:color w:val="000000"/>
          <w:sz w:val="24"/>
        </w:rPr>
        <w:t xml:space="preserve">Dawood, M. Y. (1987). Dysmenorrhea and prostaglandins. </w:t>
      </w:r>
      <w:r>
        <w:rPr>
          <w:rFonts w:ascii="Times New Roman" w:hAnsi="Times New Roman" w:eastAsia="Times New Roman"/>
          <w:i/>
          <w:color w:val="000000"/>
          <w:sz w:val="24"/>
        </w:rPr>
        <w:t>Journal of Reproductive Medicine</w:t>
      </w:r>
      <w:r>
        <w:rPr>
          <w:rFonts w:ascii="Times New Roman" w:hAnsi="Times New Roman" w:eastAsia="Times New Roman"/>
          <w:color w:val="000000"/>
          <w:sz w:val="24"/>
        </w:rPr>
        <w:t>, 32(7), 469–475.</w:t>
      </w:r>
    </w:p>
    <w:p>
      <w:pPr>
        <w:spacing w:line="360" w:lineRule="auto" w:after="0"/>
        <w:jc w:val="both"/>
      </w:pPr>
      <w:r>
        <w:rPr>
          <w:rFonts w:ascii="Times New Roman" w:hAnsi="Times New Roman" w:eastAsia="Times New Roman"/>
          <w:color w:val="000000"/>
          <w:sz w:val="24"/>
        </w:rPr>
        <w:t xml:space="preserve">Dawood, M. Y. (2006). Primary dysmenorrhea: Advances in pathogenesis and management.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xml:space="preserve">, 108(2), 428–441. </w:t>
      </w:r>
      <w:hyperlink r:id="rId30">
        <w:r>
          <w:rPr>
            <w:color w:val="0000FF"/>
            <w:u w:val="single"/>
          </w:rPr>
          <w:t>source</w:t>
        </w:r>
      </w:hyperlink>
    </w:p>
    <w:p>
      <w:pPr>
        <w:spacing w:line="360" w:lineRule="auto" w:after="0"/>
        <w:jc w:val="both"/>
      </w:pPr>
      <w:r>
        <w:rPr>
          <w:rFonts w:ascii="Times New Roman" w:hAnsi="Times New Roman" w:eastAsia="Times New Roman"/>
          <w:color w:val="000000"/>
          <w:sz w:val="24"/>
        </w:rPr>
        <w:t xml:space="preserve">Dawood, M. Y. (2006). Primary dysmenorrhea: advances in pathogenesis and management. </w:t>
      </w:r>
      <w:r>
        <w:rPr>
          <w:rFonts w:ascii="Times New Roman" w:hAnsi="Times New Roman" w:eastAsia="Times New Roman"/>
          <w:i/>
          <w:color w:val="000000"/>
          <w:sz w:val="24"/>
        </w:rPr>
        <w:t>Obstetrics and Gynecology</w:t>
      </w:r>
      <w:r>
        <w:rPr>
          <w:rFonts w:ascii="Times New Roman" w:hAnsi="Times New Roman" w:eastAsia="Times New Roman"/>
          <w:color w:val="000000"/>
          <w:sz w:val="24"/>
        </w:rPr>
        <w:t xml:space="preserve">, 108(2), 428–441. </w:t>
      </w:r>
      <w:hyperlink r:id="rId30">
        <w:r>
          <w:rPr>
            <w:color w:val="0000FF"/>
            <w:u w:val="single"/>
          </w:rPr>
          <w:t>source</w:t>
        </w:r>
      </w:hyperlink>
    </w:p>
    <w:p>
      <w:pPr>
        <w:spacing w:line="360" w:lineRule="auto" w:after="0"/>
        <w:jc w:val="both"/>
      </w:pPr>
      <w:r>
        <w:rPr>
          <w:rFonts w:ascii="Times New Roman" w:hAnsi="Times New Roman" w:eastAsia="Times New Roman"/>
          <w:color w:val="000000"/>
          <w:sz w:val="24"/>
        </w:rPr>
        <w:t xml:space="preserve">De Sanctis, V., Soliman, A., Bernasconi, S., Bianchin, L., Bona, G., Bozzola, M., Buzi, F., De Sanctis, C., Tonini, G., Rigon, F., &amp; Perissinotto, E. (2015). Primary dysmenorrhea in adolescents: Prevalence, impact and recent knowledge. </w:t>
      </w:r>
      <w:r>
        <w:rPr>
          <w:rFonts w:ascii="Times New Roman" w:hAnsi="Times New Roman" w:eastAsia="Times New Roman"/>
          <w:i/>
          <w:color w:val="000000"/>
          <w:sz w:val="24"/>
        </w:rPr>
        <w:t>Pediatric Endocrinology Reviews</w:t>
      </w:r>
      <w:r>
        <w:rPr>
          <w:rFonts w:ascii="Times New Roman" w:hAnsi="Times New Roman" w:eastAsia="Times New Roman"/>
          <w:color w:val="000000"/>
          <w:sz w:val="24"/>
        </w:rPr>
        <w:t xml:space="preserve">, 13(2), 512–520. </w:t>
      </w:r>
      <w:hyperlink r:id="rId31">
        <w:r>
          <w:rPr>
            <w:color w:val="0000FF"/>
            <w:u w:val="single"/>
          </w:rPr>
          <w:t>source</w:t>
        </w:r>
      </w:hyperlink>
    </w:p>
    <w:p>
      <w:pPr>
        <w:spacing w:line="360" w:lineRule="auto" w:after="0"/>
        <w:jc w:val="both"/>
      </w:pPr>
      <w:r>
        <w:rPr>
          <w:rFonts w:ascii="Times New Roman" w:hAnsi="Times New Roman" w:eastAsia="Times New Roman"/>
          <w:color w:val="000000"/>
          <w:sz w:val="24"/>
        </w:rPr>
        <w:t xml:space="preserve">Devkota, H. P., &amp; Devkota, S. (2022). Culinary spices in food and medicine: An overview of Syzygium aromaticum (L.) Merr. and L. M. Perry Myrtaceae.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xml:space="preserve">, 12, 793200. </w:t>
      </w:r>
      <w:hyperlink r:id="rId32">
        <w:r>
          <w:rPr>
            <w:color w:val="0000FF"/>
            <w:u w:val="single"/>
          </w:rPr>
          <w:t>source</w:t>
        </w:r>
      </w:hyperlink>
    </w:p>
    <w:p>
      <w:pPr>
        <w:spacing w:line="360" w:lineRule="auto" w:after="0"/>
        <w:jc w:val="both"/>
      </w:pPr>
      <w:r>
        <w:rPr>
          <w:rFonts w:ascii="Times New Roman" w:hAnsi="Times New Roman" w:eastAsia="Times New Roman"/>
          <w:color w:val="000000"/>
          <w:sz w:val="24"/>
        </w:rPr>
        <w:t xml:space="preserve">Dibazar, S. P., Fateh, S., &amp; Daneshmandi, S. (2015). Inhibition of inflammatory agent production by ethanol extract and eugenol of Syzygium aromaticum (L.) flower bud (clove) in LPS-stimulated Raw 264.7 cells. </w:t>
      </w:r>
      <w:r>
        <w:rPr>
          <w:rFonts w:ascii="Times New Roman" w:hAnsi="Times New Roman" w:eastAsia="Times New Roman"/>
          <w:i/>
          <w:color w:val="000000"/>
          <w:sz w:val="24"/>
        </w:rPr>
        <w:t>Research Journal of Medicinal Plants</w:t>
      </w:r>
      <w:r>
        <w:rPr>
          <w:rFonts w:ascii="Times New Roman" w:hAnsi="Times New Roman" w:eastAsia="Times New Roman"/>
          <w:color w:val="000000"/>
          <w:sz w:val="24"/>
        </w:rPr>
        <w:t xml:space="preserve">, 9(6), 264–274. </w:t>
      </w:r>
      <w:hyperlink r:id="rId33">
        <w:r>
          <w:rPr>
            <w:color w:val="0000FF"/>
            <w:u w:val="single"/>
          </w:rPr>
          <w:t>source</w:t>
        </w:r>
      </w:hyperlink>
    </w:p>
    <w:p>
      <w:pPr>
        <w:spacing w:line="360" w:lineRule="auto" w:after="0"/>
        <w:jc w:val="both"/>
      </w:pPr>
      <w:r>
        <w:rPr>
          <w:rFonts w:ascii="Times New Roman" w:hAnsi="Times New Roman" w:eastAsia="Times New Roman"/>
          <w:color w:val="000000"/>
          <w:sz w:val="24"/>
        </w:rPr>
        <w:t xml:space="preserve">Ding, Y., Gu, Z., Wang, Y., Wang, S., Chen, H., Zhang, H., ... &amp; Liu, J. (2021). The prevalence and risk factors of primary dysmenorrhea among female college students: A meta-analysis. </w:t>
      </w:r>
      <w:r>
        <w:rPr>
          <w:rFonts w:ascii="Times New Roman" w:hAnsi="Times New Roman" w:eastAsia="Times New Roman"/>
          <w:i/>
          <w:color w:val="000000"/>
          <w:sz w:val="24"/>
        </w:rPr>
        <w:t>Medicine</w:t>
      </w:r>
      <w:r>
        <w:rPr>
          <w:rFonts w:ascii="Times New Roman" w:hAnsi="Times New Roman" w:eastAsia="Times New Roman"/>
          <w:color w:val="000000"/>
          <w:sz w:val="24"/>
        </w:rPr>
        <w:t xml:space="preserve">, 100(28), e26633. </w:t>
      </w:r>
      <w:hyperlink r:id="rId34">
        <w:r>
          <w:rPr>
            <w:color w:val="0000FF"/>
            <w:u w:val="single"/>
          </w:rPr>
          <w:t>source</w:t>
        </w:r>
      </w:hyperlink>
    </w:p>
    <w:p>
      <w:pPr>
        <w:spacing w:line="360" w:lineRule="auto" w:after="0"/>
        <w:jc w:val="both"/>
      </w:pPr>
      <w:r>
        <w:rPr>
          <w:rFonts w:ascii="Times New Roman" w:hAnsi="Times New Roman" w:eastAsia="Times New Roman"/>
          <w:color w:val="000000"/>
          <w:sz w:val="24"/>
        </w:rPr>
        <w:t xml:space="preserve">Dobreva, D., &amp; Milcheva, R. (2021). GC-MS analysis of clove (Syzygium aromaticum L.) essential oil. </w:t>
      </w:r>
      <w:r>
        <w:rPr>
          <w:rFonts w:ascii="Times New Roman" w:hAnsi="Times New Roman" w:eastAsia="Times New Roman"/>
          <w:i/>
          <w:color w:val="000000"/>
          <w:sz w:val="24"/>
        </w:rPr>
        <w:t>Bulgarian Journal of Agricultural Science</w:t>
      </w:r>
      <w:r>
        <w:rPr>
          <w:rFonts w:ascii="Times New Roman" w:hAnsi="Times New Roman" w:eastAsia="Times New Roman"/>
          <w:color w:val="000000"/>
          <w:sz w:val="24"/>
        </w:rPr>
        <w:t>, 27(1), 187–191.</w:t>
      </w:r>
    </w:p>
    <w:p>
      <w:pPr>
        <w:spacing w:line="360" w:lineRule="auto" w:after="0"/>
        <w:jc w:val="both"/>
      </w:pPr>
      <w:r>
        <w:rPr>
          <w:rFonts w:ascii="Times New Roman" w:hAnsi="Times New Roman" w:eastAsia="Times New Roman"/>
          <w:color w:val="000000"/>
          <w:sz w:val="24"/>
        </w:rPr>
        <w:t xml:space="preserve">Dorman, H. J. D., &amp; Deans, S. G. (2000). Antimicrobial agents from plants: Antibacterial activity of plant volatile oils. </w:t>
      </w:r>
      <w:r>
        <w:rPr>
          <w:rFonts w:ascii="Times New Roman" w:hAnsi="Times New Roman" w:eastAsia="Times New Roman"/>
          <w:i/>
          <w:color w:val="000000"/>
          <w:sz w:val="24"/>
        </w:rPr>
        <w:t>Journal of Applied Microbiology</w:t>
      </w:r>
      <w:r>
        <w:rPr>
          <w:rFonts w:ascii="Times New Roman" w:hAnsi="Times New Roman" w:eastAsia="Times New Roman"/>
          <w:color w:val="000000"/>
          <w:sz w:val="24"/>
        </w:rPr>
        <w:t xml:space="preserve">, 88(2), 308–316. </w:t>
      </w:r>
      <w:hyperlink r:id="rId35">
        <w:r>
          <w:rPr>
            <w:color w:val="0000FF"/>
            <w:u w:val="single"/>
          </w:rPr>
          <w:t>source</w:t>
        </w:r>
      </w:hyperlink>
    </w:p>
    <w:p>
      <w:pPr>
        <w:spacing w:line="360" w:lineRule="auto" w:after="0"/>
        <w:jc w:val="both"/>
      </w:pPr>
      <w:r>
        <w:rPr>
          <w:rFonts w:ascii="Times New Roman" w:hAnsi="Times New Roman" w:eastAsia="Times New Roman"/>
          <w:color w:val="000000"/>
          <w:sz w:val="24"/>
        </w:rPr>
        <w:t xml:space="preserve">Eisenhut, M. (2024). Eugenol: A comprehensive review of its pharmacological properties and therapeutic potential. </w:t>
      </w:r>
      <w:r>
        <w:rPr>
          <w:rFonts w:ascii="Times New Roman" w:hAnsi="Times New Roman" w:eastAsia="Times New Roman"/>
          <w:i/>
          <w:color w:val="000000"/>
          <w:sz w:val="24"/>
        </w:rPr>
        <w:t>Pharmaceuticals</w:t>
      </w:r>
      <w:r>
        <w:rPr>
          <w:rFonts w:ascii="Times New Roman" w:hAnsi="Times New Roman" w:eastAsia="Times New Roman"/>
          <w:color w:val="000000"/>
          <w:sz w:val="24"/>
        </w:rPr>
        <w:t xml:space="preserve">, 17(1), 45. </w:t>
      </w:r>
      <w:hyperlink r:id="rId36">
        <w:r>
          <w:rPr>
            <w:color w:val="0000FF"/>
            <w:u w:val="single"/>
          </w:rPr>
          <w:t>source</w:t>
        </w:r>
      </w:hyperlink>
    </w:p>
    <w:p>
      <w:pPr>
        <w:spacing w:line="360" w:lineRule="auto" w:after="0"/>
        <w:jc w:val="both"/>
      </w:pPr>
      <w:r>
        <w:rPr>
          <w:rFonts w:ascii="Times New Roman" w:hAnsi="Times New Roman" w:eastAsia="Times New Roman"/>
          <w:color w:val="000000"/>
          <w:sz w:val="24"/>
        </w:rPr>
        <w:t xml:space="preserve">Ekpenyong, C. E., Davis, K. J., Akpan, U. P., &amp; Daniel, N. E. (2022). Dysmenorrhea: A review of current knowledge and management strategies. </w:t>
      </w:r>
      <w:r>
        <w:rPr>
          <w:rFonts w:ascii="Times New Roman" w:hAnsi="Times New Roman" w:eastAsia="Times New Roman"/>
          <w:i/>
          <w:color w:val="000000"/>
          <w:sz w:val="24"/>
        </w:rPr>
        <w:t>Journal of Obstetrics and Gynaecology</w:t>
      </w:r>
      <w:r>
        <w:rPr>
          <w:rFonts w:ascii="Times New Roman" w:hAnsi="Times New Roman" w:eastAsia="Times New Roman"/>
          <w:color w:val="000000"/>
          <w:sz w:val="24"/>
        </w:rPr>
        <w:t xml:space="preserve">, 42(5), 1033–1044. </w:t>
      </w:r>
      <w:hyperlink r:id="rId37">
        <w:r>
          <w:rPr>
            <w:color w:val="0000FF"/>
            <w:u w:val="single"/>
          </w:rPr>
          <w:t>source</w:t>
        </w:r>
      </w:hyperlink>
    </w:p>
    <w:p>
      <w:pPr>
        <w:spacing w:line="360" w:lineRule="auto" w:after="0"/>
        <w:jc w:val="both"/>
      </w:pPr>
      <w:r>
        <w:rPr>
          <w:rFonts w:ascii="Times New Roman" w:hAnsi="Times New Roman" w:eastAsia="Times New Roman"/>
          <w:color w:val="000000"/>
          <w:sz w:val="24"/>
        </w:rPr>
        <w:t xml:space="preserve">El-Ghallab, O., Abo-Elkheer, M., &amp; El-Massry, K. F. (2020). GC-MS analysis of essential oil of clove (Syzygium aromaticum).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xml:space="preserve">, 23(3), 589–596. </w:t>
      </w:r>
      <w:hyperlink r:id="rId38">
        <w:r>
          <w:rPr>
            <w:color w:val="0000FF"/>
            <w:u w:val="single"/>
          </w:rPr>
          <w:t>source</w:t>
        </w:r>
      </w:hyperlink>
    </w:p>
    <w:p>
      <w:pPr>
        <w:spacing w:line="360" w:lineRule="auto" w:after="0"/>
        <w:jc w:val="both"/>
      </w:pPr>
      <w:r>
        <w:rPr>
          <w:rFonts w:ascii="Times New Roman" w:hAnsi="Times New Roman" w:eastAsia="Times New Roman"/>
          <w:color w:val="000000"/>
          <w:sz w:val="24"/>
        </w:rPr>
        <w:t xml:space="preserve">Elwakeel, H. A., Moneim, H. A., Farid, M., &amp; Gohar, A. A. (2007). Clove oil cream: A new effective treatment for chronic anal fissure. </w:t>
      </w:r>
      <w:r>
        <w:rPr>
          <w:rFonts w:ascii="Times New Roman" w:hAnsi="Times New Roman" w:eastAsia="Times New Roman"/>
          <w:i/>
          <w:color w:val="000000"/>
          <w:sz w:val="24"/>
        </w:rPr>
        <w:t>Colorectal Disease</w:t>
      </w:r>
      <w:r>
        <w:rPr>
          <w:rFonts w:ascii="Times New Roman" w:hAnsi="Times New Roman" w:eastAsia="Times New Roman"/>
          <w:color w:val="000000"/>
          <w:sz w:val="24"/>
        </w:rPr>
        <w:t xml:space="preserve">, 9(6), 549–552. </w:t>
      </w:r>
      <w:hyperlink r:id="rId39">
        <w:r>
          <w:rPr>
            <w:color w:val="0000FF"/>
            <w:u w:val="single"/>
          </w:rPr>
          <w:t>source</w:t>
        </w:r>
      </w:hyperlink>
    </w:p>
    <w:p>
      <w:pPr>
        <w:spacing w:line="360" w:lineRule="auto" w:after="0"/>
        <w:jc w:val="both"/>
      </w:pPr>
      <w:r>
        <w:rPr>
          <w:rFonts w:ascii="Times New Roman" w:hAnsi="Times New Roman" w:eastAsia="Times New Roman"/>
          <w:color w:val="000000"/>
          <w:sz w:val="24"/>
        </w:rPr>
        <w:t xml:space="preserve">Esmaeili, F., Asefi, N., &amp; Eslami, M. (2022). Anti-inflammatory and anti-nociceptive effects of cinnamon and clove essential oils nanogels: An in vivo study. </w:t>
      </w:r>
      <w:r>
        <w:rPr>
          <w:rFonts w:ascii="Times New Roman" w:hAnsi="Times New Roman" w:eastAsia="Times New Roman"/>
          <w:i/>
          <w:color w:val="000000"/>
          <w:sz w:val="24"/>
        </w:rPr>
        <w:t>BMC Complementary Medicine and Therapies</w:t>
      </w:r>
      <w:r>
        <w:rPr>
          <w:rFonts w:ascii="Times New Roman" w:hAnsi="Times New Roman" w:eastAsia="Times New Roman"/>
          <w:color w:val="000000"/>
          <w:sz w:val="24"/>
        </w:rPr>
        <w:t xml:space="preserve">, 22, 143. </w:t>
      </w:r>
      <w:hyperlink r:id="rId40">
        <w:r>
          <w:rPr>
            <w:color w:val="0000FF"/>
            <w:u w:val="single"/>
          </w:rPr>
          <w:t>source</w:t>
        </w:r>
      </w:hyperlink>
    </w:p>
    <w:p>
      <w:pPr>
        <w:spacing w:line="360" w:lineRule="auto" w:after="0"/>
        <w:jc w:val="both"/>
      </w:pPr>
      <w:r>
        <w:rPr>
          <w:rFonts w:ascii="Times New Roman" w:hAnsi="Times New Roman" w:eastAsia="Times New Roman"/>
          <w:color w:val="000000"/>
          <w:sz w:val="24"/>
        </w:rPr>
        <w:t xml:space="preserve">European Medicines Agency (EMA). (2011). Final assessment report on Syzygium aromaticum (L.) Merill et L. M. Perry, flos and Syzygium aromaticum (L.) Merill et L. M. Perry, floris aetheroleum. </w:t>
      </w:r>
      <w:r>
        <w:rPr>
          <w:rFonts w:ascii="Times New Roman" w:hAnsi="Times New Roman" w:eastAsia="Times New Roman"/>
          <w:i/>
          <w:color w:val="000000"/>
          <w:sz w:val="24"/>
        </w:rPr>
        <w:t>EMA/HMPC/534946/2010</w:t>
      </w:r>
      <w:r>
        <w:rPr>
          <w:rFonts w:ascii="Times New Roman" w:hAnsi="Times New Roman" w:eastAsia="Times New Roman"/>
          <w:color w:val="000000"/>
          <w:sz w:val="24"/>
        </w:rPr>
        <w:t xml:space="preserve">. </w:t>
      </w:r>
      <w:hyperlink r:id="rId41">
        <w:r>
          <w:rPr>
            <w:color w:val="0000FF"/>
            <w:u w:val="single"/>
          </w:rPr>
          <w:t>source</w:t>
        </w:r>
      </w:hyperlink>
    </w:p>
    <w:p>
      <w:pPr>
        <w:spacing w:line="360" w:lineRule="auto" w:after="0"/>
        <w:jc w:val="both"/>
      </w:pPr>
      <w:r>
        <w:rPr>
          <w:rFonts w:ascii="Times New Roman" w:hAnsi="Times New Roman" w:eastAsia="Times New Roman"/>
          <w:color w:val="000000"/>
          <w:sz w:val="24"/>
        </w:rPr>
        <w:t xml:space="preserve">Ezebialu, I. U., Ezenyeaku, C. C., &amp; Umeobika, J. C. (2021). Prevalence of dysmenorrhea and its contribution to school absenteeism among Nigerian undergraduate students. </w:t>
      </w:r>
      <w:r>
        <w:rPr>
          <w:rFonts w:ascii="Times New Roman" w:hAnsi="Times New Roman" w:eastAsia="Times New Roman"/>
          <w:i/>
          <w:color w:val="000000"/>
          <w:sz w:val="24"/>
        </w:rPr>
        <w:t>Annals of Health Research</w:t>
      </w:r>
      <w:r>
        <w:rPr>
          <w:rFonts w:ascii="Times New Roman" w:hAnsi="Times New Roman" w:eastAsia="Times New Roman"/>
          <w:color w:val="000000"/>
          <w:sz w:val="24"/>
        </w:rPr>
        <w:t xml:space="preserve">, 7(1), 59–66. </w:t>
      </w:r>
      <w:hyperlink r:id="rId42">
        <w:r>
          <w:rPr>
            <w:color w:val="0000FF"/>
            <w:u w:val="single"/>
          </w:rPr>
          <w:t>source</w:t>
        </w:r>
      </w:hyperlink>
    </w:p>
    <w:p>
      <w:pPr>
        <w:spacing w:line="360" w:lineRule="auto" w:after="0"/>
        <w:jc w:val="both"/>
      </w:pPr>
      <w:r>
        <w:rPr>
          <w:rFonts w:ascii="Times New Roman" w:hAnsi="Times New Roman" w:eastAsia="Times New Roman"/>
          <w:color w:val="000000"/>
          <w:sz w:val="24"/>
        </w:rPr>
        <w:t xml:space="preserve">Feng, J., Luo, J., Wang, J., &amp; Zhang, Y. (2023). Eugenol: A potential natural product for the treatment of inflammatory diseases.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xml:space="preserve">, 14, 1185412. </w:t>
      </w:r>
      <w:hyperlink r:id="rId43">
        <w:r>
          <w:rPr>
            <w:color w:val="0000FF"/>
            <w:u w:val="single"/>
          </w:rPr>
          <w:t>source</w:t>
        </w:r>
      </w:hyperlink>
    </w:p>
    <w:p>
      <w:pPr>
        <w:spacing w:line="360" w:lineRule="auto" w:after="0"/>
        <w:jc w:val="both"/>
      </w:pPr>
      <w:r>
        <w:rPr>
          <w:rFonts w:ascii="Times New Roman" w:hAnsi="Times New Roman" w:eastAsia="Times New Roman"/>
          <w:color w:val="000000"/>
          <w:sz w:val="24"/>
        </w:rPr>
        <w:t xml:space="preserve">Feng, X., Wang, X., &amp; Zhou, Y. (2018). Comparison of the efficacy and safety of non-steroidal anti-inflammatory drugs for patients with primary dysmenorrhea: A network meta-analysis. </w:t>
      </w:r>
      <w:r>
        <w:rPr>
          <w:rFonts w:ascii="Times New Roman" w:hAnsi="Times New Roman" w:eastAsia="Times New Roman"/>
          <w:i/>
          <w:color w:val="000000"/>
          <w:sz w:val="24"/>
        </w:rPr>
        <w:t>Molecular Pain</w:t>
      </w:r>
      <w:r>
        <w:rPr>
          <w:rFonts w:ascii="Times New Roman" w:hAnsi="Times New Roman" w:eastAsia="Times New Roman"/>
          <w:color w:val="000000"/>
          <w:sz w:val="24"/>
        </w:rPr>
        <w:t xml:space="preserve">, 14, 1744806918770320. </w:t>
      </w:r>
      <w:hyperlink r:id="rId44">
        <w:r>
          <w:rPr>
            <w:color w:val="0000FF"/>
            <w:u w:val="single"/>
          </w:rPr>
          <w:t>source</w:t>
        </w:r>
      </w:hyperlink>
    </w:p>
    <w:p>
      <w:pPr>
        <w:spacing w:line="360" w:lineRule="auto" w:after="0"/>
        <w:jc w:val="both"/>
      </w:pPr>
      <w:r>
        <w:rPr>
          <w:rFonts w:ascii="Times New Roman" w:hAnsi="Times New Roman" w:eastAsia="Times New Roman"/>
          <w:color w:val="000000"/>
          <w:sz w:val="24"/>
        </w:rPr>
        <w:t xml:space="preserve">Ferries-Rowe, E., Corey, E., &amp; Archer, D. F. (2020). Primary Dysmenorrhea: Diagnosis and Therapy. </w:t>
      </w:r>
      <w:r>
        <w:rPr>
          <w:rFonts w:ascii="Times New Roman" w:hAnsi="Times New Roman" w:eastAsia="Times New Roman"/>
          <w:i/>
          <w:color w:val="000000"/>
          <w:sz w:val="24"/>
        </w:rPr>
        <w:t>Obstetrics and Gynecology</w:t>
      </w:r>
      <w:r>
        <w:rPr>
          <w:rFonts w:ascii="Times New Roman" w:hAnsi="Times New Roman" w:eastAsia="Times New Roman"/>
          <w:color w:val="000000"/>
          <w:sz w:val="24"/>
        </w:rPr>
        <w:t xml:space="preserve">, 136(5), 1047–1058. </w:t>
      </w:r>
      <w:hyperlink r:id="rId45">
        <w:r>
          <w:rPr>
            <w:color w:val="0000FF"/>
            <w:u w:val="single"/>
          </w:rPr>
          <w:t>source</w:t>
        </w:r>
      </w:hyperlink>
    </w:p>
    <w:p>
      <w:pPr>
        <w:spacing w:line="360" w:lineRule="auto" w:after="0"/>
        <w:jc w:val="both"/>
      </w:pPr>
      <w:r>
        <w:rPr>
          <w:rFonts w:ascii="Times New Roman" w:hAnsi="Times New Roman" w:eastAsia="Times New Roman"/>
          <w:color w:val="000000"/>
          <w:sz w:val="24"/>
        </w:rPr>
        <w:t xml:space="preserve">Ferries-Rowe, E., Corey, E., &amp; Archer, J. S. (2020). Primary dysmenorrhea: Diagnosis and therapy.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xml:space="preserve">, 136(5), 1047–1058. </w:t>
      </w:r>
      <w:hyperlink r:id="rId45">
        <w:r>
          <w:rPr>
            <w:color w:val="0000FF"/>
            <w:u w:val="single"/>
          </w:rPr>
          <w:t>source</w:t>
        </w:r>
      </w:hyperlink>
    </w:p>
    <w:p>
      <w:pPr>
        <w:spacing w:line="360" w:lineRule="auto" w:after="0"/>
        <w:jc w:val="both"/>
      </w:pPr>
      <w:r>
        <w:rPr>
          <w:rFonts w:ascii="Times New Roman" w:hAnsi="Times New Roman" w:eastAsia="Times New Roman"/>
          <w:color w:val="000000"/>
          <w:sz w:val="24"/>
        </w:rPr>
        <w:t xml:space="preserve">Fischer, I. U., von Unruh, G. E., &amp; Dengler, H. J. (1990). The metabolism of eugenol in man. </w:t>
      </w:r>
      <w:r>
        <w:rPr>
          <w:rFonts w:ascii="Times New Roman" w:hAnsi="Times New Roman" w:eastAsia="Times New Roman"/>
          <w:i/>
          <w:color w:val="000000"/>
          <w:sz w:val="24"/>
        </w:rPr>
        <w:t>Xenobiotica</w:t>
      </w:r>
      <w:r>
        <w:rPr>
          <w:rFonts w:ascii="Times New Roman" w:hAnsi="Times New Roman" w:eastAsia="Times New Roman"/>
          <w:color w:val="000000"/>
          <w:sz w:val="24"/>
        </w:rPr>
        <w:t xml:space="preserve">, 20(2), 209–222. </w:t>
      </w:r>
      <w:hyperlink r:id="rId46">
        <w:r>
          <w:rPr>
            <w:color w:val="0000FF"/>
            <w:u w:val="single"/>
          </w:rPr>
          <w:t>source</w:t>
        </w:r>
      </w:hyperlink>
    </w:p>
    <w:p>
      <w:pPr>
        <w:spacing w:line="360" w:lineRule="auto" w:after="0"/>
        <w:jc w:val="both"/>
      </w:pPr>
      <w:r>
        <w:rPr>
          <w:rFonts w:ascii="Times New Roman" w:hAnsi="Times New Roman" w:eastAsia="Times New Roman"/>
          <w:color w:val="000000"/>
          <w:sz w:val="24"/>
        </w:rPr>
        <w:t xml:space="preserve">Flower, R. J. (2003). The development of COX-2 inhibitors. </w:t>
      </w:r>
      <w:r>
        <w:rPr>
          <w:rFonts w:ascii="Times New Roman" w:hAnsi="Times New Roman" w:eastAsia="Times New Roman"/>
          <w:i/>
          <w:color w:val="000000"/>
          <w:sz w:val="24"/>
        </w:rPr>
        <w:t>Nature Reviews Drug Discovery</w:t>
      </w:r>
      <w:r>
        <w:rPr>
          <w:rFonts w:ascii="Times New Roman" w:hAnsi="Times New Roman" w:eastAsia="Times New Roman"/>
          <w:color w:val="000000"/>
          <w:sz w:val="24"/>
        </w:rPr>
        <w:t xml:space="preserve">, 2(3), 179–191. </w:t>
      </w:r>
      <w:hyperlink r:id="rId47">
        <w:r>
          <w:rPr>
            <w:color w:val="0000FF"/>
            <w:u w:val="single"/>
          </w:rPr>
          <w:t>source</w:t>
        </w:r>
      </w:hyperlink>
    </w:p>
    <w:p>
      <w:pPr>
        <w:spacing w:line="360" w:lineRule="auto" w:after="0"/>
        <w:jc w:val="both"/>
      </w:pPr>
      <w:r>
        <w:rPr>
          <w:rFonts w:ascii="Times New Roman" w:hAnsi="Times New Roman" w:eastAsia="Times New Roman"/>
          <w:color w:val="000000"/>
          <w:sz w:val="24"/>
        </w:rPr>
        <w:t xml:space="preserve">Fuchs, A. R., Fuchs, F., Husslein, P., &amp; Soloff, M. S. (2002). Involvement of oxytocin and vasopressin in the pathophysiology of preterm labor and primary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xml:space="preserve">, 81(12), 1109–1117. </w:t>
      </w:r>
      <w:hyperlink r:id="rId48">
        <w:r>
          <w:rPr>
            <w:color w:val="0000FF"/>
            <w:u w:val="single"/>
          </w:rPr>
          <w:t>source</w:t>
        </w:r>
      </w:hyperlink>
    </w:p>
    <w:p>
      <w:pPr>
        <w:spacing w:line="360" w:lineRule="auto" w:after="0"/>
        <w:jc w:val="both"/>
      </w:pPr>
      <w:r>
        <w:rPr>
          <w:rFonts w:ascii="Times New Roman" w:hAnsi="Times New Roman" w:eastAsia="Times New Roman"/>
          <w:color w:val="000000"/>
          <w:sz w:val="24"/>
        </w:rPr>
        <w:t xml:space="preserve">Gaytán, M., de la Torre, M. A., &amp; Morales-Ríos, M. S. (2019). Eugenol: A review of its pharmacological properties and potential therapeutic applications. </w:t>
      </w:r>
      <w:r>
        <w:rPr>
          <w:rFonts w:ascii="Times New Roman" w:hAnsi="Times New Roman" w:eastAsia="Times New Roman"/>
          <w:i/>
          <w:color w:val="000000"/>
          <w:sz w:val="24"/>
        </w:rPr>
        <w:t>Mini-Reviews in Medicinal Chemistry</w:t>
      </w:r>
      <w:r>
        <w:rPr>
          <w:rFonts w:ascii="Times New Roman" w:hAnsi="Times New Roman" w:eastAsia="Times New Roman"/>
          <w:color w:val="000000"/>
          <w:sz w:val="24"/>
        </w:rPr>
        <w:t xml:space="preserve">, 19(6), 471–481. </w:t>
      </w:r>
      <w:hyperlink r:id="rId49">
        <w:r>
          <w:rPr>
            <w:color w:val="0000FF"/>
            <w:u w:val="single"/>
          </w:rPr>
          <w:t>source</w:t>
        </w:r>
      </w:hyperlink>
    </w:p>
    <w:p>
      <w:pPr>
        <w:spacing w:line="360" w:lineRule="auto" w:after="0"/>
        <w:jc w:val="both"/>
      </w:pPr>
      <w:r>
        <w:rPr>
          <w:rFonts w:ascii="Times New Roman" w:hAnsi="Times New Roman" w:eastAsia="Times New Roman"/>
          <w:color w:val="000000"/>
          <w:sz w:val="24"/>
        </w:rPr>
        <w:t xml:space="preserve">Gopalakrishnan, M., Narayanan, C. S., &amp; Mathew, A. G. (1984). Chemical composition of Indian clove bud oil. </w:t>
      </w:r>
      <w:r>
        <w:rPr>
          <w:rFonts w:ascii="Times New Roman" w:hAnsi="Times New Roman" w:eastAsia="Times New Roman"/>
          <w:i/>
          <w:color w:val="000000"/>
          <w:sz w:val="24"/>
        </w:rPr>
        <w:t>Indian Perfumer</w:t>
      </w:r>
      <w:r>
        <w:rPr>
          <w:rFonts w:ascii="Times New Roman" w:hAnsi="Times New Roman" w:eastAsia="Times New Roman"/>
          <w:color w:val="000000"/>
          <w:sz w:val="24"/>
        </w:rPr>
        <w:t>, 28(3–4), 144–146.</w:t>
      </w:r>
    </w:p>
    <w:p>
      <w:pPr>
        <w:spacing w:line="360" w:lineRule="auto" w:after="0"/>
        <w:jc w:val="both"/>
      </w:pPr>
      <w:r>
        <w:rPr>
          <w:rFonts w:ascii="Times New Roman" w:hAnsi="Times New Roman" w:eastAsia="Times New Roman"/>
          <w:color w:val="000000"/>
          <w:sz w:val="24"/>
        </w:rPr>
        <w:t xml:space="preserve">Gorji, A., &amp; Khaleghi Ghadiri, M. (2021). History of dysmenorrhea: From ancient times to the present. </w:t>
      </w:r>
      <w:r>
        <w:rPr>
          <w:rFonts w:ascii="Times New Roman" w:hAnsi="Times New Roman" w:eastAsia="Times New Roman"/>
          <w:i/>
          <w:color w:val="000000"/>
          <w:sz w:val="24"/>
        </w:rPr>
        <w:t>Journal of the History of Medicine and Allied Sciences</w:t>
      </w:r>
      <w:r>
        <w:rPr>
          <w:rFonts w:ascii="Times New Roman" w:hAnsi="Times New Roman" w:eastAsia="Times New Roman"/>
          <w:color w:val="000000"/>
          <w:sz w:val="24"/>
        </w:rPr>
        <w:t xml:space="preserve">, 76(2), 163–185. </w:t>
      </w:r>
      <w:hyperlink r:id="rId50">
        <w:r>
          <w:rPr>
            <w:color w:val="0000FF"/>
            <w:u w:val="single"/>
          </w:rPr>
          <w:t>source</w:t>
        </w:r>
      </w:hyperlink>
    </w:p>
    <w:p>
      <w:pPr>
        <w:spacing w:line="360" w:lineRule="auto" w:after="0"/>
        <w:jc w:val="both"/>
      </w:pPr>
      <w:r>
        <w:rPr>
          <w:rFonts w:ascii="Times New Roman" w:hAnsi="Times New Roman" w:eastAsia="Times New Roman"/>
          <w:color w:val="000000"/>
          <w:sz w:val="24"/>
        </w:rPr>
        <w:t xml:space="preserve">Gouda, M. R., &amp; Srivastav, S. K. (2022). Eugenol: A natural analgesic and anti-inflammatory agent. </w:t>
      </w:r>
      <w:r>
        <w:rPr>
          <w:rFonts w:ascii="Times New Roman" w:hAnsi="Times New Roman" w:eastAsia="Times New Roman"/>
          <w:i/>
          <w:color w:val="000000"/>
          <w:sz w:val="24"/>
        </w:rPr>
        <w:t>Natural Product Research</w:t>
      </w:r>
      <w:r>
        <w:rPr>
          <w:rFonts w:ascii="Times New Roman" w:hAnsi="Times New Roman" w:eastAsia="Times New Roman"/>
          <w:color w:val="000000"/>
          <w:sz w:val="24"/>
        </w:rPr>
        <w:t xml:space="preserve">, 36(10), 2570–2583. </w:t>
      </w:r>
      <w:hyperlink r:id="rId51">
        <w:r>
          <w:rPr>
            <w:color w:val="0000FF"/>
            <w:u w:val="single"/>
          </w:rPr>
          <w:t>source</w:t>
        </w:r>
      </w:hyperlink>
    </w:p>
    <w:p>
      <w:pPr>
        <w:spacing w:line="360" w:lineRule="auto" w:after="0"/>
        <w:jc w:val="both"/>
      </w:pPr>
      <w:r>
        <w:rPr>
          <w:rFonts w:ascii="Times New Roman" w:hAnsi="Times New Roman" w:eastAsia="Times New Roman"/>
          <w:color w:val="000000"/>
          <w:sz w:val="24"/>
        </w:rPr>
        <w:t xml:space="preserve">Graves, G. (2019). OECD guideline 423: Acute oral toxicity testing in drug development. </w:t>
      </w:r>
      <w:r>
        <w:rPr>
          <w:rFonts w:ascii="Times New Roman" w:hAnsi="Times New Roman" w:eastAsia="Times New Roman"/>
          <w:i/>
          <w:color w:val="000000"/>
          <w:sz w:val="24"/>
        </w:rPr>
        <w:t>Regulatory Toxicology and Pharmacology</w:t>
      </w:r>
      <w:r>
        <w:rPr>
          <w:rFonts w:ascii="Times New Roman" w:hAnsi="Times New Roman" w:eastAsia="Times New Roman"/>
          <w:color w:val="000000"/>
          <w:sz w:val="24"/>
        </w:rPr>
        <w:t xml:space="preserve">, 108, 104456. </w:t>
      </w:r>
      <w:hyperlink r:id="rId52">
        <w:r>
          <w:rPr>
            <w:color w:val="0000FF"/>
            <w:u w:val="single"/>
          </w:rPr>
          <w:t>source</w:t>
        </w:r>
      </w:hyperlink>
    </w:p>
    <w:p>
      <w:pPr>
        <w:spacing w:line="360" w:lineRule="auto" w:after="0"/>
        <w:jc w:val="both"/>
      </w:pPr>
      <w:r>
        <w:rPr>
          <w:rFonts w:ascii="Times New Roman" w:hAnsi="Times New Roman" w:eastAsia="Times New Roman"/>
          <w:color w:val="000000"/>
          <w:sz w:val="24"/>
        </w:rPr>
        <w:t xml:space="preserve">Guenette, S. A., Beaudry, F., Marier, J. F., &amp; Vachon, P. (2006). Pharmacokinetics and anesthetic activity of eugenol in male Sprague-Dawley rats. </w:t>
      </w:r>
      <w:r>
        <w:rPr>
          <w:rFonts w:ascii="Times New Roman" w:hAnsi="Times New Roman" w:eastAsia="Times New Roman"/>
          <w:i/>
          <w:color w:val="000000"/>
          <w:sz w:val="24"/>
        </w:rPr>
        <w:t>Journal of Veterinary Pharmacology and Therapeutics</w:t>
      </w:r>
      <w:r>
        <w:rPr>
          <w:rFonts w:ascii="Times New Roman" w:hAnsi="Times New Roman" w:eastAsia="Times New Roman"/>
          <w:color w:val="000000"/>
          <w:sz w:val="24"/>
        </w:rPr>
        <w:t xml:space="preserve">, 29(4), 265–270. </w:t>
      </w:r>
      <w:hyperlink r:id="rId53">
        <w:r>
          <w:rPr>
            <w:color w:val="0000FF"/>
            <w:u w:val="single"/>
          </w:rPr>
          <w:t>source</w:t>
        </w:r>
      </w:hyperlink>
    </w:p>
    <w:p>
      <w:pPr>
        <w:spacing w:line="360" w:lineRule="auto" w:after="0"/>
        <w:jc w:val="both"/>
      </w:pPr>
      <w:r>
        <w:rPr>
          <w:rFonts w:ascii="Times New Roman" w:hAnsi="Times New Roman" w:eastAsia="Times New Roman"/>
          <w:color w:val="000000"/>
          <w:sz w:val="24"/>
        </w:rPr>
        <w:t xml:space="preserve">Guimarães, A. G., Quintans, J. S. S., &amp; Quintans-Júnior, L. J. (2013). Monoterpenes with analgesic activity—a systematic review.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xml:space="preserve">, 27(1), 1–15. </w:t>
      </w:r>
      <w:hyperlink r:id="rId54">
        <w:r>
          <w:rPr>
            <w:color w:val="0000FF"/>
            <w:u w:val="single"/>
          </w:rPr>
          <w:t>source</w:t>
        </w:r>
      </w:hyperlink>
    </w:p>
    <w:p>
      <w:pPr>
        <w:spacing w:line="360" w:lineRule="auto" w:after="0"/>
        <w:jc w:val="both"/>
      </w:pPr>
      <w:r>
        <w:rPr>
          <w:rFonts w:ascii="Times New Roman" w:hAnsi="Times New Roman" w:eastAsia="Times New Roman"/>
          <w:color w:val="000000"/>
          <w:sz w:val="24"/>
        </w:rPr>
        <w:t xml:space="preserve">Gülçin, İ. (2011). Antioxidant activity of eugenol: A structure–activity relationship study. </w:t>
      </w:r>
      <w:r>
        <w:rPr>
          <w:rFonts w:ascii="Times New Roman" w:hAnsi="Times New Roman" w:eastAsia="Times New Roman"/>
          <w:i/>
          <w:color w:val="000000"/>
          <w:sz w:val="24"/>
        </w:rPr>
        <w:t>Journal of Medicinal Food</w:t>
      </w:r>
      <w:r>
        <w:rPr>
          <w:rFonts w:ascii="Times New Roman" w:hAnsi="Times New Roman" w:eastAsia="Times New Roman"/>
          <w:color w:val="000000"/>
          <w:sz w:val="24"/>
        </w:rPr>
        <w:t xml:space="preserve">, 14(9), 975–985. </w:t>
      </w:r>
      <w:hyperlink r:id="rId55">
        <w:r>
          <w:rPr>
            <w:color w:val="0000FF"/>
            <w:u w:val="single"/>
          </w:rPr>
          <w:t>source</w:t>
        </w:r>
      </w:hyperlink>
    </w:p>
    <w:p>
      <w:pPr>
        <w:spacing w:line="360" w:lineRule="auto" w:after="0"/>
        <w:jc w:val="both"/>
      </w:pPr>
      <w:r>
        <w:rPr>
          <w:rFonts w:ascii="Times New Roman" w:hAnsi="Times New Roman" w:eastAsia="Times New Roman"/>
          <w:color w:val="000000"/>
          <w:sz w:val="24"/>
        </w:rPr>
        <w:t xml:space="preserve">Halder, S., Mehta, A. K., &amp; Mediratta, P. K. (2011). Acute effect of essential oil of Eugenia caryophyllata on cognition and pain in mice. </w:t>
      </w:r>
      <w:r>
        <w:rPr>
          <w:rFonts w:ascii="Times New Roman" w:hAnsi="Times New Roman" w:eastAsia="Times New Roman"/>
          <w:i/>
          <w:color w:val="000000"/>
          <w:sz w:val="24"/>
        </w:rPr>
        <w:t>Naunyn-Schmiedeberg's Archives of Pharmacology</w:t>
      </w:r>
      <w:r>
        <w:rPr>
          <w:rFonts w:ascii="Times New Roman" w:hAnsi="Times New Roman" w:eastAsia="Times New Roman"/>
          <w:color w:val="000000"/>
          <w:sz w:val="24"/>
        </w:rPr>
        <w:t xml:space="preserve">, 384(3), 243–251. </w:t>
      </w:r>
      <w:hyperlink r:id="rId56">
        <w:r>
          <w:rPr>
            <w:color w:val="0000FF"/>
            <w:u w:val="single"/>
          </w:rPr>
          <w:t>source</w:t>
        </w:r>
      </w:hyperlink>
    </w:p>
    <w:p>
      <w:pPr>
        <w:spacing w:line="360" w:lineRule="auto" w:after="0"/>
        <w:jc w:val="both"/>
      </w:pPr>
      <w:r>
        <w:rPr>
          <w:rFonts w:ascii="Times New Roman" w:hAnsi="Times New Roman" w:eastAsia="Times New Roman"/>
          <w:color w:val="000000"/>
          <w:sz w:val="24"/>
        </w:rPr>
        <w:t xml:space="preserve">Harel, Z. (2006). Dysmenorrhea in adolescents and young adults: Etiology and management.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xml:space="preserve">, 19(6), 363–371. </w:t>
      </w:r>
      <w:hyperlink r:id="rId57">
        <w:r>
          <w:rPr>
            <w:color w:val="0000FF"/>
            <w:u w:val="single"/>
          </w:rPr>
          <w:t>source</w:t>
        </w:r>
      </w:hyperlink>
    </w:p>
    <w:p>
      <w:pPr>
        <w:spacing w:line="360" w:lineRule="auto" w:after="0"/>
        <w:jc w:val="both"/>
      </w:pPr>
      <w:r>
        <w:rPr>
          <w:rFonts w:ascii="Times New Roman" w:hAnsi="Times New Roman" w:eastAsia="Times New Roman"/>
          <w:color w:val="000000"/>
          <w:sz w:val="24"/>
        </w:rPr>
        <w:t xml:space="preserve">Harel, Z. (2008). Dysmenorrhea in adolescents. </w:t>
      </w:r>
      <w:r>
        <w:rPr>
          <w:rFonts w:ascii="Times New Roman" w:hAnsi="Times New Roman" w:eastAsia="Times New Roman"/>
          <w:i/>
          <w:color w:val="000000"/>
          <w:sz w:val="24"/>
        </w:rPr>
        <w:t>Annals of the New York Academy of Sciences</w:t>
      </w:r>
      <w:r>
        <w:rPr>
          <w:rFonts w:ascii="Times New Roman" w:hAnsi="Times New Roman" w:eastAsia="Times New Roman"/>
          <w:color w:val="000000"/>
          <w:sz w:val="24"/>
        </w:rPr>
        <w:t xml:space="preserve">, 1135, 185–195. </w:t>
      </w:r>
      <w:hyperlink r:id="rId58">
        <w:r>
          <w:rPr>
            <w:color w:val="0000FF"/>
            <w:u w:val="single"/>
          </w:rPr>
          <w:t>source</w:t>
        </w:r>
      </w:hyperlink>
    </w:p>
    <w:p>
      <w:pPr>
        <w:spacing w:line="360" w:lineRule="auto" w:after="0"/>
        <w:jc w:val="both"/>
      </w:pPr>
      <w:r>
        <w:rPr>
          <w:rFonts w:ascii="Times New Roman" w:hAnsi="Times New Roman" w:eastAsia="Times New Roman"/>
          <w:color w:val="000000"/>
          <w:sz w:val="24"/>
        </w:rPr>
        <w:t xml:space="preserve">Haro-González, J. N., Castillo-Herrera, G. A., Martínez-Velázquez, M., &amp; Espinosa-Andrews, H. (2021). Clove essential oil (Syzygium aromaticum L. Myrtaceae): Extraction, chemical composition, food applications, and essential bioactivity for human health. </w:t>
      </w:r>
      <w:r>
        <w:rPr>
          <w:rFonts w:ascii="Times New Roman" w:hAnsi="Times New Roman" w:eastAsia="Times New Roman"/>
          <w:i/>
          <w:color w:val="000000"/>
          <w:sz w:val="24"/>
        </w:rPr>
        <w:t>Molecules</w:t>
      </w:r>
      <w:r>
        <w:rPr>
          <w:rFonts w:ascii="Times New Roman" w:hAnsi="Times New Roman" w:eastAsia="Times New Roman"/>
          <w:color w:val="000000"/>
          <w:sz w:val="24"/>
        </w:rPr>
        <w:t xml:space="preserve">, 26(21), 6387. </w:t>
      </w:r>
      <w:hyperlink r:id="rId59">
        <w:r>
          <w:rPr>
            <w:color w:val="0000FF"/>
            <w:u w:val="single"/>
          </w:rPr>
          <w:t>source</w:t>
        </w:r>
      </w:hyperlink>
    </w:p>
    <w:p>
      <w:pPr>
        <w:spacing w:line="360" w:lineRule="auto" w:after="0"/>
        <w:jc w:val="both"/>
      </w:pPr>
      <w:r>
        <w:rPr>
          <w:rFonts w:ascii="Times New Roman" w:hAnsi="Times New Roman" w:eastAsia="Times New Roman"/>
          <w:color w:val="000000"/>
          <w:sz w:val="24"/>
        </w:rPr>
        <w:t xml:space="preserve">Hartmann, D. A., &amp; Mohamed, M. (2021). Animal models of primary dysmenorrhea: A comprehensive review. </w:t>
      </w:r>
      <w:r>
        <w:rPr>
          <w:rFonts w:ascii="Times New Roman" w:hAnsi="Times New Roman" w:eastAsia="Times New Roman"/>
          <w:i/>
          <w:color w:val="000000"/>
          <w:sz w:val="24"/>
        </w:rPr>
        <w:t>Life Sciences</w:t>
      </w:r>
      <w:r>
        <w:rPr>
          <w:rFonts w:ascii="Times New Roman" w:hAnsi="Times New Roman" w:eastAsia="Times New Roman"/>
          <w:color w:val="000000"/>
          <w:sz w:val="24"/>
        </w:rPr>
        <w:t xml:space="preserve">, 285, 119955. </w:t>
      </w:r>
      <w:hyperlink r:id="rId60">
        <w:r>
          <w:rPr>
            <w:color w:val="0000FF"/>
            <w:u w:val="single"/>
          </w:rPr>
          <w:t>source</w:t>
        </w:r>
      </w:hyperlink>
    </w:p>
    <w:p>
      <w:pPr>
        <w:spacing w:line="360" w:lineRule="auto" w:after="0"/>
        <w:jc w:val="both"/>
      </w:pPr>
      <w:r>
        <w:rPr>
          <w:rFonts w:ascii="Times New Roman" w:hAnsi="Times New Roman" w:eastAsia="Times New Roman"/>
          <w:color w:val="000000"/>
          <w:sz w:val="24"/>
        </w:rPr>
        <w:t xml:space="preserve">He, J., Liu, J., &amp; Huang, X. (2022). Role of prostaglandins in primary dysmenorrhea: Mechanisms and therapeutic implications. </w:t>
      </w:r>
      <w:r>
        <w:rPr>
          <w:rFonts w:ascii="Times New Roman" w:hAnsi="Times New Roman" w:eastAsia="Times New Roman"/>
          <w:i/>
          <w:color w:val="000000"/>
          <w:sz w:val="24"/>
        </w:rPr>
        <w:t>Prostaglandins &amp; Other Lipid Mediators</w:t>
      </w:r>
      <w:r>
        <w:rPr>
          <w:rFonts w:ascii="Times New Roman" w:hAnsi="Times New Roman" w:eastAsia="Times New Roman"/>
          <w:color w:val="000000"/>
          <w:sz w:val="24"/>
        </w:rPr>
        <w:t xml:space="preserve">, 160, 106635. </w:t>
      </w:r>
      <w:hyperlink r:id="rId61">
        <w:r>
          <w:rPr>
            <w:color w:val="0000FF"/>
            <w:u w:val="single"/>
          </w:rPr>
          <w:t>source</w:t>
        </w:r>
      </w:hyperlink>
    </w:p>
    <w:p>
      <w:pPr>
        <w:spacing w:line="360" w:lineRule="auto" w:after="0"/>
        <w:jc w:val="both"/>
      </w:pPr>
      <w:r>
        <w:rPr>
          <w:rFonts w:ascii="Times New Roman" w:hAnsi="Times New Roman" w:eastAsia="Times New Roman"/>
          <w:color w:val="000000"/>
          <w:sz w:val="24"/>
        </w:rPr>
        <w:t xml:space="preserve">Hong, F., He, G., Zhang, M., Yu, B., &amp; Chai, C. (2022). The establishment of a mouse model of recurrent primary dysmenorrhea. </w:t>
      </w:r>
      <w:r>
        <w:rPr>
          <w:rFonts w:ascii="Times New Roman" w:hAnsi="Times New Roman" w:eastAsia="Times New Roman"/>
          <w:i/>
          <w:color w:val="000000"/>
          <w:sz w:val="24"/>
        </w:rPr>
        <w:t>International Journal of Molecular Sciences</w:t>
      </w:r>
      <w:r>
        <w:rPr>
          <w:rFonts w:ascii="Times New Roman" w:hAnsi="Times New Roman" w:eastAsia="Times New Roman"/>
          <w:color w:val="000000"/>
          <w:sz w:val="24"/>
        </w:rPr>
        <w:t xml:space="preserve">, 23(11), 6128. </w:t>
      </w:r>
      <w:hyperlink r:id="rId62">
        <w:r>
          <w:rPr>
            <w:color w:val="0000FF"/>
            <w:u w:val="single"/>
          </w:rPr>
          <w:t>source</w:t>
        </w:r>
      </w:hyperlink>
    </w:p>
    <w:p>
      <w:pPr>
        <w:spacing w:line="360" w:lineRule="auto" w:after="0"/>
        <w:jc w:val="both"/>
      </w:pPr>
      <w:r>
        <w:rPr>
          <w:rFonts w:ascii="Times New Roman" w:hAnsi="Times New Roman" w:eastAsia="Times New Roman"/>
          <w:color w:val="000000"/>
          <w:sz w:val="24"/>
        </w:rPr>
        <w:t xml:space="preserve">Hosseini, M., Asl, M. K., &amp; Rakhshandeh, H. (2011). Analgesic effect of clove essential oil in mice. </w:t>
      </w:r>
      <w:r>
        <w:rPr>
          <w:rFonts w:ascii="Times New Roman" w:hAnsi="Times New Roman" w:eastAsia="Times New Roman"/>
          <w:i/>
          <w:color w:val="000000"/>
          <w:sz w:val="24"/>
        </w:rPr>
        <w:t>Avicenna Journal of Phytomedicine</w:t>
      </w:r>
      <w:r>
        <w:rPr>
          <w:rFonts w:ascii="Times New Roman" w:hAnsi="Times New Roman" w:eastAsia="Times New Roman"/>
          <w:color w:val="000000"/>
          <w:sz w:val="24"/>
        </w:rPr>
        <w:t xml:space="preserve">, 1(1), 1–6. </w:t>
      </w:r>
      <w:hyperlink r:id="rId63">
        <w:r>
          <w:rPr>
            <w:color w:val="0000FF"/>
            <w:u w:val="single"/>
          </w:rPr>
          <w:t>source</w:t>
        </w:r>
      </w:hyperlink>
    </w:p>
    <w:p>
      <w:pPr>
        <w:spacing w:line="360" w:lineRule="auto" w:after="0"/>
        <w:jc w:val="both"/>
      </w:pPr>
      <w:r>
        <w:rPr>
          <w:rFonts w:ascii="Times New Roman" w:hAnsi="Times New Roman" w:eastAsia="Times New Roman"/>
          <w:color w:val="000000"/>
          <w:sz w:val="24"/>
        </w:rPr>
        <w:t xml:space="preserve">Iacovides, S., Avidon, I., &amp; Baker, F. C. (2015). What we know about primary dysmenorrhea today: a critical review. </w:t>
      </w:r>
      <w:r>
        <w:rPr>
          <w:rFonts w:ascii="Times New Roman" w:hAnsi="Times New Roman" w:eastAsia="Times New Roman"/>
          <w:i/>
          <w:color w:val="000000"/>
          <w:sz w:val="24"/>
        </w:rPr>
        <w:t>Human Reproduction Update</w:t>
      </w:r>
      <w:r>
        <w:rPr>
          <w:rFonts w:ascii="Times New Roman" w:hAnsi="Times New Roman" w:eastAsia="Times New Roman"/>
          <w:color w:val="000000"/>
          <w:sz w:val="24"/>
        </w:rPr>
        <w:t xml:space="preserve">, 21(6), 762–778. </w:t>
      </w:r>
      <w:hyperlink r:id="rId64">
        <w:r>
          <w:rPr>
            <w:color w:val="0000FF"/>
            <w:u w:val="single"/>
          </w:rPr>
          <w:t>source</w:t>
        </w:r>
      </w:hyperlink>
    </w:p>
    <w:p>
      <w:pPr>
        <w:spacing w:line="360" w:lineRule="auto" w:after="0"/>
        <w:jc w:val="both"/>
      </w:pPr>
      <w:r>
        <w:rPr>
          <w:rFonts w:ascii="Times New Roman" w:hAnsi="Times New Roman" w:eastAsia="Times New Roman"/>
          <w:color w:val="000000"/>
          <w:sz w:val="24"/>
        </w:rPr>
        <w:t xml:space="preserve">Ibrahim, N. A., El-Ghorab, A. H., &amp; Hassan, E. M. (2022). Chemical composition and biological activities of clove (Syzygium aromaticum L.) essential oil. </w:t>
      </w:r>
      <w:r>
        <w:rPr>
          <w:rFonts w:ascii="Times New Roman" w:hAnsi="Times New Roman" w:eastAsia="Times New Roman"/>
          <w:i/>
          <w:color w:val="000000"/>
          <w:sz w:val="24"/>
        </w:rPr>
        <w:t>Journal of Essential Oil Research</w:t>
      </w:r>
      <w:r>
        <w:rPr>
          <w:rFonts w:ascii="Times New Roman" w:hAnsi="Times New Roman" w:eastAsia="Times New Roman"/>
          <w:color w:val="000000"/>
          <w:sz w:val="24"/>
        </w:rPr>
        <w:t xml:space="preserve">, 34(4), 321–334. </w:t>
      </w:r>
      <w:hyperlink r:id="rId65">
        <w:r>
          <w:rPr>
            <w:color w:val="0000FF"/>
            <w:u w:val="single"/>
          </w:rPr>
          <w:t>source</w:t>
        </w:r>
      </w:hyperlink>
    </w:p>
    <w:p>
      <w:pPr>
        <w:spacing w:line="360" w:lineRule="auto" w:after="0"/>
        <w:jc w:val="both"/>
      </w:pPr>
      <w:r>
        <w:rPr>
          <w:rFonts w:ascii="Times New Roman" w:hAnsi="Times New Roman" w:eastAsia="Times New Roman"/>
          <w:color w:val="000000"/>
          <w:sz w:val="24"/>
        </w:rPr>
        <w:t xml:space="preserve">Ingram, J. R., &amp; Goddard, J. (2020). The anatomy and physiology of the menstrual cycle. </w:t>
      </w:r>
      <w:r>
        <w:rPr>
          <w:rFonts w:ascii="Times New Roman" w:hAnsi="Times New Roman" w:eastAsia="Times New Roman"/>
          <w:i/>
          <w:color w:val="000000"/>
          <w:sz w:val="24"/>
        </w:rPr>
        <w:t>Obstetrics, Gynaecology &amp; Reproductive Medicine</w:t>
      </w:r>
      <w:r>
        <w:rPr>
          <w:rFonts w:ascii="Times New Roman" w:hAnsi="Times New Roman" w:eastAsia="Times New Roman"/>
          <w:color w:val="000000"/>
          <w:sz w:val="24"/>
        </w:rPr>
        <w:t xml:space="preserve">, 30(8), 243–249. </w:t>
      </w:r>
      <w:hyperlink r:id="rId66">
        <w:r>
          <w:rPr>
            <w:color w:val="0000FF"/>
            <w:u w:val="single"/>
          </w:rPr>
          <w:t>source</w:t>
        </w:r>
      </w:hyperlink>
    </w:p>
    <w:p>
      <w:pPr>
        <w:spacing w:line="360" w:lineRule="auto" w:after="0"/>
        <w:jc w:val="both"/>
      </w:pPr>
      <w:r>
        <w:rPr>
          <w:rFonts w:ascii="Times New Roman" w:hAnsi="Times New Roman" w:eastAsia="Times New Roman"/>
          <w:color w:val="000000"/>
          <w:sz w:val="24"/>
        </w:rPr>
        <w:t xml:space="preserve">Itriyeva, K. (2022). The normal menstrual cycle. </w:t>
      </w:r>
      <w:r>
        <w:rPr>
          <w:rFonts w:ascii="Times New Roman" w:hAnsi="Times New Roman" w:eastAsia="Times New Roman"/>
          <w:i/>
          <w:color w:val="000000"/>
          <w:sz w:val="24"/>
        </w:rPr>
        <w:t>Current Problems in Pediatric and Adolescent Health Care</w:t>
      </w:r>
      <w:r>
        <w:rPr>
          <w:rFonts w:ascii="Times New Roman" w:hAnsi="Times New Roman" w:eastAsia="Times New Roman"/>
          <w:color w:val="000000"/>
          <w:sz w:val="24"/>
        </w:rPr>
        <w:t xml:space="preserve">, 52(5), 101183. </w:t>
      </w:r>
      <w:hyperlink r:id="rId67">
        <w:r>
          <w:rPr>
            <w:color w:val="0000FF"/>
            <w:u w:val="single"/>
          </w:rPr>
          <w:t>source</w:t>
        </w:r>
      </w:hyperlink>
      <w:r>
        <w:rPr>
          <w:rFonts w:ascii="Times New Roman" w:hAnsi="Times New Roman" w:eastAsia="Times New Roman"/>
          <w:color w:val="000000"/>
          <w:sz w:val="24"/>
        </w:rPr>
        <w:t xml:space="preserve"> </w:t>
      </w:r>
    </w:p>
    <w:p>
      <w:pPr>
        <w:spacing w:line="360" w:lineRule="auto" w:after="0"/>
        <w:jc w:val="both"/>
      </w:pPr>
      <w:r>
        <w:rPr>
          <w:rFonts w:ascii="Times New Roman" w:hAnsi="Times New Roman" w:eastAsia="Times New Roman"/>
          <w:color w:val="000000"/>
          <w:sz w:val="24"/>
        </w:rPr>
        <w:t xml:space="preserve">Jalali, M., &amp; Ramezani, M. (2021). Fennel (Foeniculum vulgare) for primary dysmenorrhea: A systematic review and meta-analysis.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xml:space="preserve">, 28, 100440. </w:t>
      </w:r>
      <w:hyperlink r:id="rId68">
        <w:r>
          <w:rPr>
            <w:color w:val="0000FF"/>
            <w:u w:val="single"/>
          </w:rPr>
          <w:t>source</w:t>
        </w:r>
      </w:hyperlink>
    </w:p>
    <w:p>
      <w:pPr>
        <w:spacing w:line="360" w:lineRule="auto" w:after="0"/>
        <w:jc w:val="both"/>
      </w:pPr>
      <w:r>
        <w:rPr>
          <w:rFonts w:ascii="Times New Roman" w:hAnsi="Times New Roman" w:eastAsia="Times New Roman"/>
          <w:color w:val="000000"/>
          <w:sz w:val="24"/>
        </w:rPr>
        <w:t xml:space="preserve">Jirovetz, L., Buchbauer, G., Stoilova, I., Stoyanova, A., Krastanov, A., &amp; Schmidt, E. (2006). Chemical composition and antioxidant properties of clove leaf essential oil.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xml:space="preserve">, 54(17), 6303–6307. </w:t>
      </w:r>
      <w:hyperlink r:id="rId69">
        <w:r>
          <w:rPr>
            <w:color w:val="0000FF"/>
            <w:u w:val="single"/>
          </w:rPr>
          <w:t>source</w:t>
        </w:r>
      </w:hyperlink>
    </w:p>
    <w:p>
      <w:pPr>
        <w:spacing w:line="360" w:lineRule="auto" w:after="0"/>
        <w:jc w:val="both"/>
      </w:pPr>
      <w:r>
        <w:rPr>
          <w:rFonts w:ascii="Times New Roman" w:hAnsi="Times New Roman" w:eastAsia="Times New Roman"/>
          <w:color w:val="000000"/>
          <w:sz w:val="24"/>
        </w:rPr>
        <w:t xml:space="preserve">Johannah, N. M., Joseph, D., Maliakel, B., &amp; Krishnakumar, I. M. (2016). Safety assessment of a standardized polyphenolic extract of clove buds: Subchronic toxicity and mutagenicity studies. </w:t>
      </w:r>
      <w:r>
        <w:rPr>
          <w:rFonts w:ascii="Times New Roman" w:hAnsi="Times New Roman" w:eastAsia="Times New Roman"/>
          <w:i/>
          <w:color w:val="000000"/>
          <w:sz w:val="24"/>
        </w:rPr>
        <w:t>Toxicology Reports</w:t>
      </w:r>
      <w:r>
        <w:rPr>
          <w:rFonts w:ascii="Times New Roman" w:hAnsi="Times New Roman" w:eastAsia="Times New Roman"/>
          <w:color w:val="000000"/>
          <w:sz w:val="24"/>
        </w:rPr>
        <w:t xml:space="preserve">, 3, 439–449. </w:t>
      </w:r>
      <w:hyperlink r:id="rId70">
        <w:r>
          <w:rPr>
            <w:color w:val="0000FF"/>
            <w:u w:val="single"/>
          </w:rPr>
          <w:t>source</w:t>
        </w:r>
      </w:hyperlink>
    </w:p>
    <w:p>
      <w:pPr>
        <w:spacing w:line="360" w:lineRule="auto" w:after="0"/>
        <w:jc w:val="both"/>
      </w:pPr>
      <w:r>
        <w:rPr>
          <w:rFonts w:ascii="Times New Roman" w:hAnsi="Times New Roman" w:eastAsia="Times New Roman"/>
          <w:color w:val="000000"/>
          <w:sz w:val="24"/>
        </w:rPr>
        <w:t xml:space="preserve">Ju, H., Jones, M., &amp; Mishra, G. (2014). The prevalence and risk factors of dysmenorrhea. </w:t>
      </w:r>
      <w:r>
        <w:rPr>
          <w:rFonts w:ascii="Times New Roman" w:hAnsi="Times New Roman" w:eastAsia="Times New Roman"/>
          <w:i/>
          <w:color w:val="000000"/>
          <w:sz w:val="24"/>
        </w:rPr>
        <w:t>Epidemiologic Reviews</w:t>
      </w:r>
      <w:r>
        <w:rPr>
          <w:rFonts w:ascii="Times New Roman" w:hAnsi="Times New Roman" w:eastAsia="Times New Roman"/>
          <w:color w:val="000000"/>
          <w:sz w:val="24"/>
        </w:rPr>
        <w:t xml:space="preserve">, 36(1), 104–113. </w:t>
      </w:r>
      <w:hyperlink r:id="rId71">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Kamat, K. G., &amp; Gaonkar, S. G. (2023). Pharmacodynamic, pharmacokinetic, toxicity, and recent advances in eugenol's potential benefits against natural and chemical noxious agents: A mechanistic review. </w:t>
      </w:r>
      <w:r>
        <w:rPr>
          <w:rFonts w:ascii="Times New Roman" w:hAnsi="Times New Roman" w:eastAsia="Times New Roman"/>
          <w:i/>
          <w:color w:val="000000"/>
          <w:sz w:val="24"/>
        </w:rPr>
        <w:t>Toxicology</w:t>
      </w:r>
      <w:r>
        <w:rPr>
          <w:rFonts w:ascii="Times New Roman" w:hAnsi="Times New Roman" w:eastAsia="Times New Roman"/>
          <w:color w:val="000000"/>
          <w:sz w:val="24"/>
        </w:rPr>
        <w:t xml:space="preserve">, 501, 153442. </w:t>
      </w:r>
      <w:hyperlink r:id="rId72">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Kamatou, G. P. P., Vermaak, I., &amp; Viljoen, A. M. (2012). Eugenol—from the remote Maluku Islands to the international market place: A review of a remarkable and versatile molecule. </w:t>
      </w:r>
      <w:r>
        <w:rPr>
          <w:rFonts w:ascii="Times New Roman" w:hAnsi="Times New Roman" w:eastAsia="Times New Roman"/>
          <w:i/>
          <w:color w:val="000000"/>
          <w:sz w:val="24"/>
        </w:rPr>
        <w:t>Molecules</w:t>
      </w:r>
      <w:r>
        <w:rPr>
          <w:rFonts w:ascii="Times New Roman" w:hAnsi="Times New Roman" w:eastAsia="Times New Roman"/>
          <w:color w:val="000000"/>
          <w:sz w:val="24"/>
        </w:rPr>
        <w:t xml:space="preserve">, 17(6), 6953–6981. </w:t>
      </w:r>
      <w:hyperlink r:id="rId73">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Kamkar Asl, M., Nazariborun, A., &amp; Hosseini, M. (2013). Analgesic effect of the aqueous and ethanolic extracts of clove. </w:t>
      </w:r>
      <w:r>
        <w:rPr>
          <w:rFonts w:ascii="Times New Roman" w:hAnsi="Times New Roman" w:eastAsia="Times New Roman"/>
          <w:i/>
          <w:color w:val="000000"/>
          <w:sz w:val="24"/>
        </w:rPr>
        <w:t>Avicenna Journal of Phytomedicine</w:t>
      </w:r>
      <w:r>
        <w:rPr>
          <w:rFonts w:ascii="Times New Roman" w:hAnsi="Times New Roman" w:eastAsia="Times New Roman"/>
          <w:color w:val="000000"/>
          <w:sz w:val="24"/>
        </w:rPr>
        <w:t xml:space="preserve">, 3(2), 186–192. </w:t>
      </w:r>
      <w:hyperlink r:id="rId74">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Kannan, A., &amp; Devi, S. (2022). Protective effect of eugenol against various toxicities: A review. </w:t>
      </w:r>
      <w:r>
        <w:rPr>
          <w:rFonts w:ascii="Times New Roman" w:hAnsi="Times New Roman" w:eastAsia="Times New Roman"/>
          <w:i/>
          <w:color w:val="000000"/>
          <w:sz w:val="24"/>
        </w:rPr>
        <w:t>Toxicology Mechanisms and Methods</w:t>
      </w:r>
      <w:r>
        <w:rPr>
          <w:rFonts w:ascii="Times New Roman" w:hAnsi="Times New Roman" w:eastAsia="Times New Roman"/>
          <w:color w:val="000000"/>
          <w:sz w:val="24"/>
        </w:rPr>
        <w:t xml:space="preserve">, 32(4), 243–256. </w:t>
      </w:r>
      <w:hyperlink r:id="rId75">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Karabacak, M., &amp; Sener, B. (2021). Traditional uses, phytochemistry, and pharmacology of Syzygium aromaticum (clove): A review.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xml:space="preserve">, 272, 113939. </w:t>
      </w:r>
      <w:hyperlink r:id="rId76">
        <w:r>
          <w:rPr>
            <w:color w:val="0000FF"/>
            <w:u w:val="single"/>
          </w:rPr>
          <w:t>source</w:t>
        </w:r>
      </w:hyperlink>
    </w:p>
    <w:p>
      <w:pPr>
        <w:spacing w:line="360" w:lineRule="auto" w:after="0"/>
        <w:jc w:val="both"/>
      </w:pPr>
      <w:r>
        <w:rPr>
          <w:rFonts w:ascii="Times New Roman" w:hAnsi="Times New Roman" w:eastAsia="Times New Roman"/>
          <w:color w:val="000000"/>
          <w:sz w:val="24"/>
        </w:rPr>
        <w:t xml:space="preserve">Kaur, G., &amp; Kaushal, S. (2019). Phytochemistry and pharmacological aspects of Syzygium aromaticum: A review. </w:t>
      </w:r>
      <w:r>
        <w:rPr>
          <w:rFonts w:ascii="Times New Roman" w:hAnsi="Times New Roman" w:eastAsia="Times New Roman"/>
          <w:i/>
          <w:color w:val="000000"/>
          <w:sz w:val="24"/>
        </w:rPr>
        <w:t>Journal of Pharmacognosy and Phytochemistry</w:t>
      </w:r>
      <w:r>
        <w:rPr>
          <w:rFonts w:ascii="Times New Roman" w:hAnsi="Times New Roman" w:eastAsia="Times New Roman"/>
          <w:color w:val="000000"/>
          <w:sz w:val="24"/>
        </w:rPr>
        <w:t xml:space="preserve">, 8(1), 398–406. </w:t>
      </w:r>
      <w:hyperlink r:id="rId77">
        <w:r>
          <w:rPr>
            <w:color w:val="0000FF"/>
            <w:u w:val="single"/>
          </w:rPr>
          <w:t>source</w:t>
        </w:r>
      </w:hyperlink>
    </w:p>
    <w:p>
      <w:pPr>
        <w:spacing w:line="360" w:lineRule="auto" w:after="0"/>
        <w:jc w:val="both"/>
      </w:pPr>
      <w:r>
        <w:rPr>
          <w:rFonts w:ascii="Times New Roman" w:hAnsi="Times New Roman" w:eastAsia="Times New Roman"/>
          <w:color w:val="000000"/>
          <w:sz w:val="24"/>
        </w:rPr>
        <w:t xml:space="preserve">Khan, M. S. A., &amp; Ahmad, I. (2021). Clove (Syzygium aromaticum L.): A systematic review of its traditional uses, phytochemistry, and pharmacology.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xml:space="preserve">, 28, 100438. </w:t>
      </w:r>
      <w:hyperlink r:id="rId78">
        <w:r>
          <w:rPr>
            <w:color w:val="0000FF"/>
            <w:u w:val="single"/>
          </w:rPr>
          <w:t>source</w:t>
        </w:r>
      </w:hyperlink>
    </w:p>
    <w:p>
      <w:pPr>
        <w:spacing w:line="360" w:lineRule="auto" w:after="0"/>
        <w:jc w:val="both"/>
      </w:pPr>
      <w:r>
        <w:rPr>
          <w:rFonts w:ascii="Times New Roman" w:hAnsi="Times New Roman" w:eastAsia="Times New Roman"/>
          <w:color w:val="000000"/>
          <w:sz w:val="24"/>
        </w:rPr>
        <w:t xml:space="preserve">Kim, S. S., Oh, O. J., Min, H. Y., Park, E. J., Kim, Y., Park, H. J., Nam Han, Y., &amp; Lee, S. K. (2003). Eugenol suppresses cyclooxygenase-2 expression in lipopolysaccharide-stimulated mouse macrophage RAW264.7 cells. </w:t>
      </w:r>
      <w:r>
        <w:rPr>
          <w:rFonts w:ascii="Times New Roman" w:hAnsi="Times New Roman" w:eastAsia="Times New Roman"/>
          <w:i/>
          <w:color w:val="000000"/>
          <w:sz w:val="24"/>
        </w:rPr>
        <w:t>Life Sciences</w:t>
      </w:r>
      <w:r>
        <w:rPr>
          <w:rFonts w:ascii="Times New Roman" w:hAnsi="Times New Roman" w:eastAsia="Times New Roman"/>
          <w:color w:val="000000"/>
          <w:sz w:val="24"/>
        </w:rPr>
        <w:t xml:space="preserve">, 73(3), 337–348. </w:t>
      </w:r>
      <w:hyperlink r:id="rId79">
        <w:r>
          <w:rPr>
            <w:color w:val="0000FF"/>
            <w:u w:val="single"/>
          </w:rPr>
          <w:t>source</w:t>
        </w:r>
      </w:hyperlink>
      <w:r>
        <w:rPr>
          <w:rFonts w:ascii="Times New Roman" w:hAnsi="Times New Roman" w:eastAsia="Times New Roman"/>
          <w:color w:val="000000"/>
          <w:sz w:val="24"/>
        </w:rPr>
        <w:t>00288-1)</w:t>
      </w:r>
    </w:p>
    <w:p>
      <w:pPr>
        <w:spacing w:line="360" w:lineRule="auto" w:after="0"/>
        <w:jc w:val="both"/>
      </w:pPr>
      <w:r>
        <w:rPr>
          <w:rFonts w:ascii="Times New Roman" w:hAnsi="Times New Roman" w:eastAsia="Times New Roman"/>
          <w:color w:val="000000"/>
          <w:sz w:val="24"/>
        </w:rPr>
        <w:t xml:space="preserve">Ko, I. G., Kim, S. E., Kim, C. J., &amp; Kim, K. H. (2021). Effects of eugenol on pain-related behaviors and neuroinflammation in a mouse model of chronic pain. </w:t>
      </w:r>
      <w:r>
        <w:rPr>
          <w:rFonts w:ascii="Times New Roman" w:hAnsi="Times New Roman" w:eastAsia="Times New Roman"/>
          <w:i/>
          <w:color w:val="000000"/>
          <w:sz w:val="24"/>
        </w:rPr>
        <w:t>International Journal of Molecular Sciences</w:t>
      </w:r>
      <w:r>
        <w:rPr>
          <w:rFonts w:ascii="Times New Roman" w:hAnsi="Times New Roman" w:eastAsia="Times New Roman"/>
          <w:color w:val="000000"/>
          <w:sz w:val="24"/>
        </w:rPr>
        <w:t xml:space="preserve">, 22(16), 8765. </w:t>
      </w:r>
      <w:hyperlink r:id="rId80">
        <w:r>
          <w:rPr>
            <w:color w:val="0000FF"/>
            <w:u w:val="single"/>
          </w:rPr>
          <w:t>source</w:t>
        </w:r>
      </w:hyperlink>
    </w:p>
    <w:p>
      <w:pPr>
        <w:spacing w:line="360" w:lineRule="auto" w:after="0"/>
        <w:jc w:val="both"/>
      </w:pPr>
      <w:r>
        <w:rPr>
          <w:rFonts w:ascii="Times New Roman" w:hAnsi="Times New Roman" w:eastAsia="Times New Roman"/>
          <w:color w:val="000000"/>
          <w:sz w:val="24"/>
        </w:rPr>
        <w:t xml:space="preserve">Kong, E. H., Kim, H. W., &amp; Kim, S. (2021). Non-pharmacological interventions for primary dysmenorrhea: A systematic review and meta-analysis. </w:t>
      </w:r>
      <w:r>
        <w:rPr>
          <w:rFonts w:ascii="Times New Roman" w:hAnsi="Times New Roman" w:eastAsia="Times New Roman"/>
          <w:i/>
          <w:color w:val="000000"/>
          <w:sz w:val="24"/>
        </w:rPr>
        <w:t>Journal of Women's Health</w:t>
      </w:r>
      <w:r>
        <w:rPr>
          <w:rFonts w:ascii="Times New Roman" w:hAnsi="Times New Roman" w:eastAsia="Times New Roman"/>
          <w:color w:val="000000"/>
          <w:sz w:val="24"/>
        </w:rPr>
        <w:t xml:space="preserve">, 30(8), 1131–1142. </w:t>
      </w:r>
      <w:hyperlink r:id="rId81">
        <w:r>
          <w:rPr>
            <w:color w:val="0000FF"/>
            <w:u w:val="single"/>
          </w:rPr>
          <w:t>source</w:t>
        </w:r>
      </w:hyperlink>
    </w:p>
    <w:p>
      <w:pPr>
        <w:spacing w:line="360" w:lineRule="auto" w:after="0"/>
        <w:jc w:val="both"/>
      </w:pPr>
      <w:r>
        <w:rPr>
          <w:rFonts w:ascii="Times New Roman" w:hAnsi="Times New Roman" w:eastAsia="Times New Roman"/>
          <w:color w:val="000000"/>
          <w:sz w:val="24"/>
        </w:rPr>
        <w:t xml:space="preserve">Kressel, I. B., &amp; Lee, H. O. (2022). Eugenol as a local anesthetic: Mechanisms and clinical applications. </w:t>
      </w:r>
      <w:r>
        <w:rPr>
          <w:rFonts w:ascii="Times New Roman" w:hAnsi="Times New Roman" w:eastAsia="Times New Roman"/>
          <w:i/>
          <w:color w:val="000000"/>
          <w:sz w:val="24"/>
        </w:rPr>
        <w:t>Journal of Dental Research</w:t>
      </w:r>
      <w:r>
        <w:rPr>
          <w:rFonts w:ascii="Times New Roman" w:hAnsi="Times New Roman" w:eastAsia="Times New Roman"/>
          <w:color w:val="000000"/>
          <w:sz w:val="24"/>
        </w:rPr>
        <w:t xml:space="preserve">, 101(3), 259–266. </w:t>
      </w:r>
      <w:hyperlink r:id="rId82">
        <w:r>
          <w:rPr>
            <w:color w:val="0000FF"/>
            <w:u w:val="single"/>
          </w:rPr>
          <w:t>source</w:t>
        </w:r>
      </w:hyperlink>
    </w:p>
    <w:p>
      <w:pPr>
        <w:spacing w:line="360" w:lineRule="auto" w:after="0"/>
        <w:jc w:val="both"/>
      </w:pPr>
      <w:r>
        <w:rPr>
          <w:rFonts w:ascii="Times New Roman" w:hAnsi="Times New Roman" w:eastAsia="Times New Roman"/>
          <w:color w:val="000000"/>
          <w:sz w:val="24"/>
        </w:rPr>
        <w:t xml:space="preserve">Kumar, V., Mishra, D., Joshi, M. C., Mishra, P., &amp; Tanwar, M. (2021). Syzygium aromaticum: Medicinal properties and phytochemical screening. In </w:t>
      </w:r>
      <w:r>
        <w:rPr>
          <w:rFonts w:ascii="Times New Roman" w:hAnsi="Times New Roman" w:eastAsia="Times New Roman"/>
          <w:i/>
          <w:color w:val="000000"/>
          <w:sz w:val="24"/>
        </w:rPr>
        <w:t>Herbs and Spices—New Processing Technologies</w:t>
      </w:r>
      <w:r>
        <w:rPr>
          <w:rFonts w:ascii="Times New Roman" w:hAnsi="Times New Roman" w:eastAsia="Times New Roman"/>
          <w:color w:val="000000"/>
          <w:sz w:val="24"/>
        </w:rPr>
        <w:t xml:space="preserve">. IntechOpen. </w:t>
      </w:r>
      <w:hyperlink r:id="rId83">
        <w:r>
          <w:rPr>
            <w:color w:val="0000FF"/>
            <w:u w:val="single"/>
          </w:rPr>
          <w:t>source</w:t>
        </w:r>
      </w:hyperlink>
    </w:p>
    <w:p>
      <w:pPr>
        <w:spacing w:line="360" w:lineRule="auto" w:after="0"/>
        <w:jc w:val="both"/>
      </w:pPr>
      <w:r>
        <w:rPr>
          <w:rFonts w:ascii="Times New Roman" w:hAnsi="Times New Roman" w:eastAsia="Times New Roman"/>
          <w:color w:val="000000"/>
          <w:sz w:val="24"/>
        </w:rPr>
        <w:t xml:space="preserve">Kurian, R., Arulmozhi, D. K., Veeranjaneyulu, A., &amp; Bodhankar, S. L. (2006). Effect of eugenol on animal models of nociception. </w:t>
      </w:r>
      <w:r>
        <w:rPr>
          <w:rFonts w:ascii="Times New Roman" w:hAnsi="Times New Roman" w:eastAsia="Times New Roman"/>
          <w:i/>
          <w:color w:val="000000"/>
          <w:sz w:val="24"/>
        </w:rPr>
        <w:t>Indian Journal of Pharmacology</w:t>
      </w:r>
      <w:r>
        <w:rPr>
          <w:rFonts w:ascii="Times New Roman" w:hAnsi="Times New Roman" w:eastAsia="Times New Roman"/>
          <w:color w:val="000000"/>
          <w:sz w:val="24"/>
        </w:rPr>
        <w:t xml:space="preserve">, 38(5), 341–345. </w:t>
      </w:r>
      <w:hyperlink r:id="rId84">
        <w:r>
          <w:rPr>
            <w:color w:val="0000FF"/>
            <w:u w:val="single"/>
          </w:rPr>
          <w:t>source</w:t>
        </w:r>
      </w:hyperlink>
    </w:p>
    <w:p>
      <w:pPr>
        <w:spacing w:line="360" w:lineRule="auto" w:after="0"/>
        <w:jc w:val="both"/>
      </w:pPr>
      <w:r>
        <w:rPr>
          <w:rFonts w:ascii="Times New Roman" w:hAnsi="Times New Roman" w:eastAsia="Times New Roman"/>
          <w:color w:val="000000"/>
          <w:sz w:val="24"/>
        </w:rPr>
        <w:t xml:space="preserve">Kędzia, A., Ziółkowska-Klinkosz, M., Lassmann, Ł., Kochańska, B., Kusiak, A., Gębska, A., &amp; Wojtaszek-Słomińska, A. (2014). Antifungal activity of clove oil (Oleum caryophylli). </w:t>
      </w:r>
      <w:r>
        <w:rPr>
          <w:rFonts w:ascii="Times New Roman" w:hAnsi="Times New Roman" w:eastAsia="Times New Roman"/>
          <w:i/>
          <w:color w:val="000000"/>
          <w:sz w:val="24"/>
        </w:rPr>
        <w:t>Postępy Fitoterapii</w:t>
      </w:r>
      <w:r>
        <w:rPr>
          <w:rFonts w:ascii="Times New Roman" w:hAnsi="Times New Roman" w:eastAsia="Times New Roman"/>
          <w:color w:val="000000"/>
          <w:sz w:val="24"/>
        </w:rPr>
        <w:t xml:space="preserve">, 15(1), 15–18. </w:t>
      </w:r>
      <w:hyperlink r:id="rId85">
        <w:r>
          <w:rPr>
            <w:color w:val="0000FF"/>
            <w:u w:val="single"/>
          </w:rPr>
          <w:t>source</w:t>
        </w:r>
      </w:hyperlink>
    </w:p>
    <w:p>
      <w:pPr>
        <w:spacing w:line="360" w:lineRule="auto" w:after="0"/>
        <w:jc w:val="both"/>
      </w:pPr>
      <w:r>
        <w:rPr>
          <w:rFonts w:ascii="Times New Roman" w:hAnsi="Times New Roman" w:eastAsia="Times New Roman"/>
          <w:color w:val="000000"/>
          <w:sz w:val="24"/>
        </w:rPr>
        <w:t xml:space="preserve">Lakshmi, T., &amp; Geetha, R. V. (2021). Pharmacological and toxicological evaluation of Syzygium aromaticum: A review. </w:t>
      </w:r>
      <w:r>
        <w:rPr>
          <w:rFonts w:ascii="Times New Roman" w:hAnsi="Times New Roman" w:eastAsia="Times New Roman"/>
          <w:i/>
          <w:color w:val="000000"/>
          <w:sz w:val="24"/>
        </w:rPr>
        <w:t>Journal of Pharmacy and Pharmaceutical Sciences</w:t>
      </w:r>
      <w:r>
        <w:rPr>
          <w:rFonts w:ascii="Times New Roman" w:hAnsi="Times New Roman" w:eastAsia="Times New Roman"/>
          <w:color w:val="000000"/>
          <w:sz w:val="24"/>
        </w:rPr>
        <w:t xml:space="preserve">, 24, 112–125. </w:t>
      </w:r>
      <w:hyperlink r:id="rId86">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Leal-Cardoso, J. H., Fonteles, M. C., &amp; Coelho-de-Souza, A. N. (2007). Pharmacological effects of essential oils of plants of the northeast of Brazil. </w:t>
      </w:r>
      <w:r>
        <w:rPr>
          <w:rFonts w:ascii="Times New Roman" w:hAnsi="Times New Roman" w:eastAsia="Times New Roman"/>
          <w:i/>
          <w:color w:val="000000"/>
          <w:sz w:val="24"/>
        </w:rPr>
        <w:t>Anais da Academia Brasileira de Ciências</w:t>
      </w:r>
      <w:r>
        <w:rPr>
          <w:rFonts w:ascii="Times New Roman" w:hAnsi="Times New Roman" w:eastAsia="Times New Roman"/>
          <w:color w:val="000000"/>
          <w:sz w:val="24"/>
        </w:rPr>
        <w:t xml:space="preserve">, 79(2), 245–254. </w:t>
      </w:r>
      <w:hyperlink r:id="rId87">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B., Kim, J., &amp; Lee, H. W. (2020). Fennel for reducing pain in primary dysmenorrhea: A systematic review and meta-analysis of randomized controlled trials. </w:t>
      </w:r>
      <w:r>
        <w:rPr>
          <w:rFonts w:ascii="Times New Roman" w:hAnsi="Times New Roman" w:eastAsia="Times New Roman"/>
          <w:i/>
          <w:color w:val="000000"/>
          <w:sz w:val="24"/>
        </w:rPr>
        <w:t>Nutrients</w:t>
      </w:r>
      <w:r>
        <w:rPr>
          <w:rFonts w:ascii="Times New Roman" w:hAnsi="Times New Roman" w:eastAsia="Times New Roman"/>
          <w:color w:val="000000"/>
          <w:sz w:val="24"/>
        </w:rPr>
        <w:t xml:space="preserve">, 12(11), 3438. </w:t>
      </w:r>
      <w:hyperlink r:id="rId88">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H. W., Jun, J. H., &amp; Lee, M. S. (2016). Herbal medicine (Danggui Shaoyao San) for treating primary dysmenorrhea: A systematic review and meta-analysis of randomized controlled trials. </w:t>
      </w:r>
      <w:r>
        <w:rPr>
          <w:rFonts w:ascii="Times New Roman" w:hAnsi="Times New Roman" w:eastAsia="Times New Roman"/>
          <w:i/>
          <w:color w:val="000000"/>
          <w:sz w:val="24"/>
        </w:rPr>
        <w:t>Maturitas</w:t>
      </w:r>
      <w:r>
        <w:rPr>
          <w:rFonts w:ascii="Times New Roman" w:hAnsi="Times New Roman" w:eastAsia="Times New Roman"/>
          <w:color w:val="000000"/>
          <w:sz w:val="24"/>
        </w:rPr>
        <w:t xml:space="preserve">, 85, 19–26. </w:t>
      </w:r>
      <w:hyperlink r:id="rId89">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H. W., Jun, J. H., &amp; Lee, M. S. (2020). Dangguijagyag-san for primary dysmenorrhea: A PRISMA-compliant systematic review and meta-analysis of randomized-controlled trials. </w:t>
      </w:r>
      <w:r>
        <w:rPr>
          <w:rFonts w:ascii="Times New Roman" w:hAnsi="Times New Roman" w:eastAsia="Times New Roman"/>
          <w:i/>
          <w:color w:val="000000"/>
          <w:sz w:val="24"/>
        </w:rPr>
        <w:t>Medicine</w:t>
      </w:r>
      <w:r>
        <w:rPr>
          <w:rFonts w:ascii="Times New Roman" w:hAnsi="Times New Roman" w:eastAsia="Times New Roman"/>
          <w:color w:val="000000"/>
          <w:sz w:val="24"/>
        </w:rPr>
        <w:t xml:space="preserve">, 99(41), e22592. </w:t>
      </w:r>
      <w:hyperlink r:id="rId90">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J., &amp; Park, S. (2022). Mechanisms of smooth muscle contraction and relaxation: Implications for dysmenorrhea. </w:t>
      </w:r>
      <w:r>
        <w:rPr>
          <w:rFonts w:ascii="Times New Roman" w:hAnsi="Times New Roman" w:eastAsia="Times New Roman"/>
          <w:i/>
          <w:color w:val="000000"/>
          <w:sz w:val="24"/>
        </w:rPr>
        <w:t>Reviews of Physiology, Biochemistry and Pharmacology</w:t>
      </w:r>
      <w:r>
        <w:rPr>
          <w:rFonts w:ascii="Times New Roman" w:hAnsi="Times New Roman" w:eastAsia="Times New Roman"/>
          <w:color w:val="000000"/>
          <w:sz w:val="24"/>
        </w:rPr>
        <w:t xml:space="preserve">, 182, 51–78. </w:t>
      </w:r>
      <w:hyperlink r:id="rId91">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M. H., Yeon, K. Y., &amp; Park, C. K. (2008). Modulation of CaV2.3 calcium channel currents by eugenol. </w:t>
      </w:r>
      <w:r>
        <w:rPr>
          <w:rFonts w:ascii="Times New Roman" w:hAnsi="Times New Roman" w:eastAsia="Times New Roman"/>
          <w:i/>
          <w:color w:val="000000"/>
          <w:sz w:val="24"/>
        </w:rPr>
        <w:t>Journal of Dental Research</w:t>
      </w:r>
      <w:r>
        <w:rPr>
          <w:rFonts w:ascii="Times New Roman" w:hAnsi="Times New Roman" w:eastAsia="Times New Roman"/>
          <w:color w:val="000000"/>
          <w:sz w:val="24"/>
        </w:rPr>
        <w:t xml:space="preserve">, 87(2), 137–141. </w:t>
      </w:r>
      <w:hyperlink r:id="rId92">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Lee, S. K., Kim, S. D., &amp; Park, S. (2024). Effect of eugenol on detrusor muscle: Potential for overactive bladder treatment. </w:t>
      </w:r>
      <w:r>
        <w:rPr>
          <w:rFonts w:ascii="Times New Roman" w:hAnsi="Times New Roman" w:eastAsia="Times New Roman"/>
          <w:i/>
          <w:color w:val="000000"/>
          <w:sz w:val="24"/>
        </w:rPr>
        <w:t>Ewha Medical Journal</w:t>
      </w:r>
      <w:r>
        <w:rPr>
          <w:rFonts w:ascii="Times New Roman" w:hAnsi="Times New Roman" w:eastAsia="Times New Roman"/>
          <w:color w:val="000000"/>
          <w:sz w:val="24"/>
        </w:rPr>
        <w:t xml:space="preserve">, 47(4), e1139. </w:t>
      </w:r>
      <w:hyperlink r:id="rId93">
        <w:r>
          <w:rPr>
            <w:color w:val="0000FF"/>
            <w:u w:val="single"/>
          </w:rPr>
          <w:t>source</w:t>
        </w:r>
      </w:hyperlink>
    </w:p>
    <w:p>
      <w:pPr>
        <w:spacing w:line="360" w:lineRule="auto" w:after="0"/>
        <w:jc w:val="both"/>
      </w:pPr>
      <w:r>
        <w:rPr>
          <w:rFonts w:ascii="Times New Roman" w:hAnsi="Times New Roman" w:eastAsia="Times New Roman"/>
          <w:color w:val="000000"/>
          <w:sz w:val="24"/>
        </w:rPr>
        <w:t xml:space="preserve">Lestariningsih, S., Tamtomo, D. G., Sulistyowati, S., Indarto, D., &amp; Subadi, I. (2024). Three models of primary dysmenorrhea via estradiol benzoate and oxytocin induction: An experimental study. </w:t>
      </w:r>
      <w:r>
        <w:rPr>
          <w:rFonts w:ascii="Times New Roman" w:hAnsi="Times New Roman" w:eastAsia="Times New Roman"/>
          <w:i/>
          <w:color w:val="000000"/>
          <w:sz w:val="24"/>
        </w:rPr>
        <w:t>Rawal Medical Journal</w:t>
      </w:r>
      <w:r>
        <w:rPr>
          <w:rFonts w:ascii="Times New Roman" w:hAnsi="Times New Roman" w:eastAsia="Times New Roman"/>
          <w:color w:val="000000"/>
          <w:sz w:val="24"/>
        </w:rPr>
        <w:t xml:space="preserve">, 49(1), 176–180. </w:t>
      </w:r>
      <w:hyperlink r:id="rId94">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 G., Liu, A., Lin, M., Liao, S., &amp; Wen, Z. (2020). Chinese herbal formula siwutang for treating primary dysmenorrhea: A systematic review and meta-analysis of randomized controlled trials. </w:t>
      </w:r>
      <w:r>
        <w:rPr>
          <w:rFonts w:ascii="Times New Roman" w:hAnsi="Times New Roman" w:eastAsia="Times New Roman"/>
          <w:i/>
          <w:color w:val="000000"/>
          <w:sz w:val="24"/>
        </w:rPr>
        <w:t>Maturitas</w:t>
      </w:r>
      <w:r>
        <w:rPr>
          <w:rFonts w:ascii="Times New Roman" w:hAnsi="Times New Roman" w:eastAsia="Times New Roman"/>
          <w:color w:val="000000"/>
          <w:sz w:val="24"/>
        </w:rPr>
        <w:t xml:space="preserve">, 138, 26–35. </w:t>
      </w:r>
      <w:hyperlink r:id="rId95">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 Q., &amp; Wang, S. (2023). Progress in the understanding of primary dysmenorrhea: From pathophysiology to treatment. </w:t>
      </w:r>
      <w:r>
        <w:rPr>
          <w:rFonts w:ascii="Times New Roman" w:hAnsi="Times New Roman" w:eastAsia="Times New Roman"/>
          <w:i/>
          <w:color w:val="000000"/>
          <w:sz w:val="24"/>
        </w:rPr>
        <w:t>Journal of Pain Research</w:t>
      </w:r>
      <w:r>
        <w:rPr>
          <w:rFonts w:ascii="Times New Roman" w:hAnsi="Times New Roman" w:eastAsia="Times New Roman"/>
          <w:color w:val="000000"/>
          <w:sz w:val="24"/>
        </w:rPr>
        <w:t xml:space="preserve">, 16, 1223–1236. </w:t>
      </w:r>
      <w:hyperlink r:id="rId96">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 R., Li, B., Ma, Z., et al. (2022). Prevalence and Risk Factors of Primary Dysmenorrhea in Students: A Meta-Analysis.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xml:space="preserve">, 35(6), 661–668. </w:t>
      </w:r>
      <w:hyperlink r:id="rId97">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 W., Tsubouchi, R., Qiao, S., Haneda, M., Murakami, K., &amp; Yoshino, M. (2006). Inhibitory action of eugenol compounds on the production of nitric oxide in RAW264.7 macrophages. </w:t>
      </w:r>
      <w:r>
        <w:rPr>
          <w:rFonts w:ascii="Times New Roman" w:hAnsi="Times New Roman" w:eastAsia="Times New Roman"/>
          <w:i/>
          <w:color w:val="000000"/>
          <w:sz w:val="24"/>
        </w:rPr>
        <w:t>Biomedical Research</w:t>
      </w:r>
      <w:r>
        <w:rPr>
          <w:rFonts w:ascii="Times New Roman" w:hAnsi="Times New Roman" w:eastAsia="Times New Roman"/>
          <w:color w:val="000000"/>
          <w:sz w:val="24"/>
        </w:rPr>
        <w:t xml:space="preserve">, 27(2), 69–74. </w:t>
      </w:r>
      <w:hyperlink r:id="rId98">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 Y., Liu, Z., Zeng, M., El Kadiri, A., Huang, J., Kim, A., He, X., Sun, J., Chen, P., Wang, T. T., Zhang, Y., Gao, B., Xie, Z., &amp; Yu, L. (2022). Chemical compositions of clove (Syzygium aromaticum (L.) Merr. &amp; L.) extracts and their potentials in suppressing SARS-CoV-2 spike protein-ACE2 binding, inhibiting ACE2, and scavenging free radicals.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xml:space="preserve">, 70(45), 14403–14413. </w:t>
      </w:r>
      <w:hyperlink r:id="rId99">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Liedman, R., Hansson, S. R., Howe, D., Igidbashian, S., Russell, R. J., &amp; Åkerlund, M. (2008). Endometrial expression of vasopressin, oxytocin and their receptors in patients with primary dysmenorrhoea and healthy volunteers at ovulation. </w:t>
      </w:r>
      <w:r>
        <w:rPr>
          <w:rFonts w:ascii="Times New Roman" w:hAnsi="Times New Roman" w:eastAsia="Times New Roman"/>
          <w:i/>
          <w:color w:val="000000"/>
          <w:sz w:val="24"/>
        </w:rPr>
        <w:t>European Journal of Obstetrics, Gynecology, and Reproductive Biology</w:t>
      </w:r>
      <w:r>
        <w:rPr>
          <w:rFonts w:ascii="Times New Roman" w:hAnsi="Times New Roman" w:eastAsia="Times New Roman"/>
          <w:color w:val="000000"/>
          <w:sz w:val="24"/>
        </w:rPr>
        <w:t xml:space="preserve">, 137(2), 189–192. </w:t>
      </w:r>
      <w:hyperlink r:id="rId100">
        <w:r>
          <w:rPr>
            <w:color w:val="0000FF"/>
            <w:u w:val="single"/>
          </w:rPr>
          <w:t>source</w:t>
        </w:r>
      </w:hyperlink>
    </w:p>
    <w:p>
      <w:pPr>
        <w:spacing w:line="360" w:lineRule="auto" w:after="0"/>
        <w:jc w:val="both"/>
      </w:pPr>
      <w:r>
        <w:rPr>
          <w:rFonts w:ascii="Times New Roman" w:hAnsi="Times New Roman" w:eastAsia="Times New Roman"/>
          <w:color w:val="000000"/>
          <w:sz w:val="24"/>
        </w:rPr>
        <w:t xml:space="preserve">Liu, Y., &amp; Chen, X. (2020). Oxytocin-induced writhing test: A classic model for evaluating analgesic activity.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xml:space="preserve">, 105, 106810. </w:t>
      </w:r>
      <w:hyperlink r:id="rId101">
        <w:r>
          <w:rPr>
            <w:color w:val="0000FF"/>
            <w:u w:val="single"/>
          </w:rPr>
          <w:t>source</w:t>
        </w:r>
      </w:hyperlink>
    </w:p>
    <w:p>
      <w:pPr>
        <w:spacing w:line="360" w:lineRule="auto" w:after="0"/>
        <w:jc w:val="both"/>
      </w:pPr>
      <w:r>
        <w:rPr>
          <w:rFonts w:ascii="Times New Roman" w:hAnsi="Times New Roman" w:eastAsia="Times New Roman"/>
          <w:color w:val="000000"/>
          <w:sz w:val="24"/>
        </w:rPr>
        <w:t xml:space="preserve">Lopresti, A. L., Smith, S. J., &amp; Ferdinands, F. R. (2025). An examination into the safety and efficacy of Khapregesic, a Khaya senegalensis preparation, on women experiencing menstrual pain and menstrual distress: A randomized, double-blind, placebo-controlled trial. </w:t>
      </w:r>
      <w:r>
        <w:rPr>
          <w:rFonts w:ascii="Times New Roman" w:hAnsi="Times New Roman" w:eastAsia="Times New Roman"/>
          <w:i/>
          <w:color w:val="000000"/>
          <w:sz w:val="24"/>
        </w:rPr>
        <w:t>International Journal of Women's Health</w:t>
      </w:r>
      <w:r>
        <w:rPr>
          <w:rFonts w:ascii="Times New Roman" w:hAnsi="Times New Roman" w:eastAsia="Times New Roman"/>
          <w:color w:val="000000"/>
          <w:sz w:val="24"/>
        </w:rPr>
        <w:t xml:space="preserve">, 17, 2025–2038. </w:t>
      </w:r>
      <w:hyperlink r:id="rId102">
        <w:r>
          <w:rPr>
            <w:color w:val="0000FF"/>
            <w:u w:val="single"/>
          </w:rPr>
          <w:t>source</w:t>
        </w:r>
      </w:hyperlink>
    </w:p>
    <w:p>
      <w:pPr>
        <w:spacing w:line="360" w:lineRule="auto" w:after="0"/>
        <w:jc w:val="both"/>
      </w:pPr>
      <w:r>
        <w:rPr>
          <w:rFonts w:ascii="Times New Roman" w:hAnsi="Times New Roman" w:eastAsia="Times New Roman"/>
          <w:color w:val="000000"/>
          <w:sz w:val="24"/>
        </w:rPr>
        <w:t xml:space="preserve">Lughmani, K. A., &amp; Sultana, N. (2017). Safety assessment and potential anti-inflammatory effect of ethanolic extract of Syzygium aromaticum in albino rats. </w:t>
      </w:r>
      <w:r>
        <w:rPr>
          <w:rFonts w:ascii="Times New Roman" w:hAnsi="Times New Roman" w:eastAsia="Times New Roman"/>
          <w:i/>
          <w:color w:val="000000"/>
          <w:sz w:val="24"/>
        </w:rPr>
        <w:t>Journal of Biosciences and Medicines</w:t>
      </w:r>
      <w:r>
        <w:rPr>
          <w:rFonts w:ascii="Times New Roman" w:hAnsi="Times New Roman" w:eastAsia="Times New Roman"/>
          <w:color w:val="000000"/>
          <w:sz w:val="24"/>
        </w:rPr>
        <w:t xml:space="preserve">, 5(11), 60–72. </w:t>
      </w:r>
      <w:hyperlink r:id="rId103">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 Y. N., &amp; Li, X. Y. (2022). Estradiol benzoate-sensitized oxytocin-induced mouse writhing model for primary dysmenorrhea. </w:t>
      </w:r>
      <w:r>
        <w:rPr>
          <w:rFonts w:ascii="Times New Roman" w:hAnsi="Times New Roman" w:eastAsia="Times New Roman"/>
          <w:i/>
          <w:color w:val="000000"/>
          <w:sz w:val="24"/>
        </w:rPr>
        <w:t>Journal of Visualized Experiments</w:t>
      </w:r>
      <w:r>
        <w:rPr>
          <w:rFonts w:ascii="Times New Roman" w:hAnsi="Times New Roman" w:eastAsia="Times New Roman"/>
          <w:color w:val="000000"/>
          <w:sz w:val="24"/>
        </w:rPr>
        <w:t xml:space="preserve">, 180, e63511. </w:t>
      </w:r>
      <w:hyperlink r:id="rId104">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Madhavi, M., &amp; Rao, M. V. (2022). Acute oral toxicity studies of herbal extracts: Methods and interpretation. </w:t>
      </w:r>
      <w:r>
        <w:rPr>
          <w:rFonts w:ascii="Times New Roman" w:hAnsi="Times New Roman" w:eastAsia="Times New Roman"/>
          <w:i/>
          <w:color w:val="000000"/>
          <w:sz w:val="24"/>
        </w:rPr>
        <w:t>Journal of Applied Toxicology</w:t>
      </w:r>
      <w:r>
        <w:rPr>
          <w:rFonts w:ascii="Times New Roman" w:hAnsi="Times New Roman" w:eastAsia="Times New Roman"/>
          <w:color w:val="000000"/>
          <w:sz w:val="24"/>
        </w:rPr>
        <w:t xml:space="preserve">, 42(3), 378–390. </w:t>
      </w:r>
      <w:hyperlink r:id="rId105">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Magalhães, C. B., Riva, D. R., &amp; DePaula, L. J. (2010). Eugenol attenuates lung injury by inhibiting leukocyte recruitment and NF-κB activation.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xml:space="preserve">, 648(1–3), 110–117. </w:t>
      </w:r>
      <w:hyperlink r:id="rId106">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Marinković, V., &amp; Radović, M. (2021). Clove oil as a natural preservative: Chemical composition and antimicrobial properties. </w:t>
      </w:r>
      <w:r>
        <w:rPr>
          <w:rFonts w:ascii="Times New Roman" w:hAnsi="Times New Roman" w:eastAsia="Times New Roman"/>
          <w:i/>
          <w:color w:val="000000"/>
          <w:sz w:val="24"/>
        </w:rPr>
        <w:t>Food Control</w:t>
      </w:r>
      <w:r>
        <w:rPr>
          <w:rFonts w:ascii="Times New Roman" w:hAnsi="Times New Roman" w:eastAsia="Times New Roman"/>
          <w:color w:val="000000"/>
          <w:sz w:val="24"/>
        </w:rPr>
        <w:t xml:space="preserve">, 128, 108190. </w:t>
      </w:r>
      <w:hyperlink r:id="rId107">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Marjoribanks, J., Ayeleke, R. O., Farquhar, C., &amp; Proctor, M. (2015). Nonsteroidal anti-inflammatory drugs for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xml:space="preserve">, (7), CD001751. </w:t>
      </w:r>
      <w:hyperlink r:id="rId108">
        <w:r>
          <w:rPr>
            <w:color w:val="0000FF"/>
            <w:u w:val="single"/>
          </w:rPr>
          <w:t>source</w:t>
        </w:r>
      </w:hyperlink>
    </w:p>
    <w:p>
      <w:pPr>
        <w:spacing w:line="360" w:lineRule="auto" w:after="0"/>
        <w:jc w:val="both"/>
      </w:pPr>
      <w:r>
        <w:rPr>
          <w:rFonts w:ascii="Times New Roman" w:hAnsi="Times New Roman" w:eastAsia="Times New Roman"/>
          <w:color w:val="000000"/>
          <w:sz w:val="24"/>
        </w:rPr>
        <w:t xml:space="preserve">Markov, S. L., &amp; Miladinović, D. L. (2020). Chemical composition and antimicrobial activity of clove essential oil from different origins.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xml:space="preserve">, 23(5), 1039–1051. </w:t>
      </w:r>
      <w:hyperlink r:id="rId109">
        <w:r>
          <w:rPr>
            <w:color w:val="0000FF"/>
            <w:u w:val="single"/>
          </w:rPr>
          <w:t>source</w:t>
        </w:r>
      </w:hyperlink>
    </w:p>
    <w:p>
      <w:pPr>
        <w:spacing w:line="360" w:lineRule="auto" w:after="0"/>
        <w:jc w:val="both"/>
      </w:pPr>
      <w:r>
        <w:rPr>
          <w:rFonts w:ascii="Times New Roman" w:hAnsi="Times New Roman" w:eastAsia="Times New Roman"/>
          <w:color w:val="000000"/>
          <w:sz w:val="24"/>
        </w:rPr>
        <w:t xml:space="preserve">Mishra, R. K., &amp; Singh, S. K. (2008). Safety assessment of Syzygium aromaticum flower bud (clove) extract with respect to testicular function in mice. </w:t>
      </w:r>
      <w:r>
        <w:rPr>
          <w:rFonts w:ascii="Times New Roman" w:hAnsi="Times New Roman" w:eastAsia="Times New Roman"/>
          <w:i/>
          <w:color w:val="000000"/>
          <w:sz w:val="24"/>
        </w:rPr>
        <w:t>Food and Chemical Toxicology</w:t>
      </w:r>
      <w:r>
        <w:rPr>
          <w:rFonts w:ascii="Times New Roman" w:hAnsi="Times New Roman" w:eastAsia="Times New Roman"/>
          <w:color w:val="000000"/>
          <w:sz w:val="24"/>
        </w:rPr>
        <w:t xml:space="preserve">, 46(10), 3333–3338. </w:t>
      </w:r>
      <w:hyperlink r:id="rId110">
        <w:r>
          <w:rPr>
            <w:color w:val="0000FF"/>
            <w:u w:val="single"/>
          </w:rPr>
          <w:t>source</w:t>
        </w:r>
      </w:hyperlink>
    </w:p>
    <w:p>
      <w:pPr>
        <w:spacing w:line="360" w:lineRule="auto" w:after="0"/>
        <w:jc w:val="both"/>
      </w:pPr>
      <w:r>
        <w:rPr>
          <w:rFonts w:ascii="Times New Roman" w:hAnsi="Times New Roman" w:eastAsia="Times New Roman"/>
          <w:color w:val="000000"/>
          <w:sz w:val="24"/>
        </w:rPr>
        <w:t xml:space="preserve">Mittal, M., Gupta, N., Parashar, P., Mehra, V., &amp; Khatri, M. (2014). Phytochemical evaluation and pharmacological activity of Syzygium aromaticum: A comprehensive review. </w:t>
      </w:r>
      <w:r>
        <w:rPr>
          <w:rFonts w:ascii="Times New Roman" w:hAnsi="Times New Roman" w:eastAsia="Times New Roman"/>
          <w:i/>
          <w:color w:val="000000"/>
          <w:sz w:val="24"/>
        </w:rPr>
        <w:t>International Journal of Pharmacy and Pharmaceutical Sciences</w:t>
      </w:r>
      <w:r>
        <w:rPr>
          <w:rFonts w:ascii="Times New Roman" w:hAnsi="Times New Roman" w:eastAsia="Times New Roman"/>
          <w:color w:val="000000"/>
          <w:sz w:val="24"/>
        </w:rPr>
        <w:t xml:space="preserve">, 6(8), 67–72. </w:t>
      </w:r>
      <w:hyperlink r:id="rId111">
        <w:r>
          <w:rPr>
            <w:color w:val="0000FF"/>
            <w:u w:val="single"/>
          </w:rPr>
          <w:t>source</w:t>
        </w:r>
      </w:hyperlink>
    </w:p>
    <w:p>
      <w:pPr>
        <w:spacing w:line="360" w:lineRule="auto" w:after="0"/>
        <w:jc w:val="both"/>
      </w:pPr>
      <w:r>
        <w:rPr>
          <w:rFonts w:ascii="Times New Roman" w:hAnsi="Times New Roman" w:eastAsia="Times New Roman"/>
          <w:color w:val="000000"/>
          <w:sz w:val="24"/>
        </w:rPr>
        <w:t xml:space="preserve">Mitton, K. P., &amp; Grahame-Smith, D. G. (2002). The effects of eugenol on platelet aggregation and arachidonic acid metabolism. </w:t>
      </w:r>
      <w:r>
        <w:rPr>
          <w:rFonts w:ascii="Times New Roman" w:hAnsi="Times New Roman" w:eastAsia="Times New Roman"/>
          <w:i/>
          <w:color w:val="000000"/>
          <w:sz w:val="24"/>
        </w:rPr>
        <w:t>British Journal of Pharmacology</w:t>
      </w:r>
      <w:r>
        <w:rPr>
          <w:rFonts w:ascii="Times New Roman" w:hAnsi="Times New Roman" w:eastAsia="Times New Roman"/>
          <w:color w:val="000000"/>
          <w:sz w:val="24"/>
        </w:rPr>
        <w:t xml:space="preserve">, 136(4), 581–586. </w:t>
      </w:r>
      <w:hyperlink r:id="rId112">
        <w:r>
          <w:rPr>
            <w:color w:val="0000FF"/>
            <w:u w:val="single"/>
          </w:rPr>
          <w:t>source</w:t>
        </w:r>
      </w:hyperlink>
    </w:p>
    <w:p>
      <w:pPr>
        <w:spacing w:line="360" w:lineRule="auto" w:after="0"/>
        <w:jc w:val="both"/>
      </w:pPr>
      <w:r>
        <w:rPr>
          <w:rFonts w:ascii="Times New Roman" w:hAnsi="Times New Roman" w:eastAsia="Times New Roman"/>
          <w:color w:val="000000"/>
          <w:sz w:val="24"/>
        </w:rPr>
        <w:t xml:space="preserve">Mohammadi, A., &amp; Jafari, S. M. (2022). Eugenol: A promising bioactive compound with multiple health benefits. </w:t>
      </w:r>
      <w:r>
        <w:rPr>
          <w:rFonts w:ascii="Times New Roman" w:hAnsi="Times New Roman" w:eastAsia="Times New Roman"/>
          <w:i/>
          <w:color w:val="000000"/>
          <w:sz w:val="24"/>
        </w:rPr>
        <w:t>Critical Reviews in Food Science and Nutrition</w:t>
      </w:r>
      <w:r>
        <w:rPr>
          <w:rFonts w:ascii="Times New Roman" w:hAnsi="Times New Roman" w:eastAsia="Times New Roman"/>
          <w:color w:val="000000"/>
          <w:sz w:val="24"/>
        </w:rPr>
        <w:t xml:space="preserve">, 62(18), 4907–4929. </w:t>
      </w:r>
      <w:hyperlink r:id="rId113">
        <w:r>
          <w:rPr>
            <w:color w:val="0000FF"/>
            <w:u w:val="single"/>
          </w:rPr>
          <w:t>source</w:t>
        </w:r>
      </w:hyperlink>
    </w:p>
    <w:p>
      <w:pPr>
        <w:spacing w:line="360" w:lineRule="auto" w:after="0"/>
        <w:jc w:val="both"/>
      </w:pPr>
      <w:r>
        <w:rPr>
          <w:rFonts w:ascii="Times New Roman" w:hAnsi="Times New Roman" w:eastAsia="Times New Roman"/>
          <w:color w:val="000000"/>
          <w:sz w:val="24"/>
        </w:rPr>
        <w:t xml:space="preserve">Monica, L. E., &amp; Kumar, A. (2021). OECD 423 and 425 guidelines for acute toxicity testing: A comparative analysis. </w:t>
      </w:r>
      <w:r>
        <w:rPr>
          <w:rFonts w:ascii="Times New Roman" w:hAnsi="Times New Roman" w:eastAsia="Times New Roman"/>
          <w:i/>
          <w:color w:val="000000"/>
          <w:sz w:val="24"/>
        </w:rPr>
        <w:t>Regulatory Toxicology and Pharmacology</w:t>
      </w:r>
      <w:r>
        <w:rPr>
          <w:rFonts w:ascii="Times New Roman" w:hAnsi="Times New Roman" w:eastAsia="Times New Roman"/>
          <w:color w:val="000000"/>
          <w:sz w:val="24"/>
        </w:rPr>
        <w:t xml:space="preserve">, 123, 104930. </w:t>
      </w:r>
      <w:hyperlink r:id="rId114">
        <w:r>
          <w:rPr>
            <w:color w:val="0000FF"/>
            <w:u w:val="single"/>
          </w:rPr>
          <w:t>source</w:t>
        </w:r>
      </w:hyperlink>
    </w:p>
    <w:p>
      <w:pPr>
        <w:spacing w:line="360" w:lineRule="auto" w:after="0"/>
        <w:jc w:val="both"/>
      </w:pPr>
      <w:r>
        <w:rPr>
          <w:rFonts w:ascii="Times New Roman" w:hAnsi="Times New Roman" w:eastAsia="Times New Roman"/>
          <w:color w:val="000000"/>
          <w:sz w:val="24"/>
        </w:rPr>
        <w:t xml:space="preserve">Nassar, M. I., Gaara, A. H., El-Ghorab, A. H., Farrag, A. R. H., Shen, H., &amp; Huq, E. (2007). Chemical constituents of clove (Syzygium aromaticum, Fam. Myrtaceae) and their antioxidant activity. </w:t>
      </w:r>
      <w:r>
        <w:rPr>
          <w:rFonts w:ascii="Times New Roman" w:hAnsi="Times New Roman" w:eastAsia="Times New Roman"/>
          <w:i/>
          <w:color w:val="000000"/>
          <w:sz w:val="24"/>
        </w:rPr>
        <w:t>Revista Latinoamericana de Química</w:t>
      </w:r>
      <w:r>
        <w:rPr>
          <w:rFonts w:ascii="Times New Roman" w:hAnsi="Times New Roman" w:eastAsia="Times New Roman"/>
          <w:color w:val="000000"/>
          <w:sz w:val="24"/>
        </w:rPr>
        <w:t xml:space="preserve">, 35(3), 47–57. </w:t>
      </w:r>
      <w:hyperlink r:id="rId115">
        <w:r>
          <w:rPr>
            <w:color w:val="0000FF"/>
            <w:u w:val="single"/>
          </w:rPr>
          <w:t>source</w:t>
        </w:r>
      </w:hyperlink>
    </w:p>
    <w:p>
      <w:pPr>
        <w:spacing w:line="360" w:lineRule="auto" w:after="0"/>
        <w:jc w:val="both"/>
      </w:pPr>
      <w:r>
        <w:rPr>
          <w:rFonts w:ascii="Times New Roman" w:hAnsi="Times New Roman" w:eastAsia="Times New Roman"/>
          <w:color w:val="000000"/>
          <w:sz w:val="24"/>
        </w:rPr>
        <w:t xml:space="preserve">Navarro, A. S., &amp; Sánchez, M. (2022). Adverse effects of NSAIDs in dysmenorrhea treatment. </w:t>
      </w:r>
      <w:r>
        <w:rPr>
          <w:rFonts w:ascii="Times New Roman" w:hAnsi="Times New Roman" w:eastAsia="Times New Roman"/>
          <w:i/>
          <w:color w:val="000000"/>
          <w:sz w:val="24"/>
        </w:rPr>
        <w:t>Drug Safety</w:t>
      </w:r>
      <w:r>
        <w:rPr>
          <w:rFonts w:ascii="Times New Roman" w:hAnsi="Times New Roman" w:eastAsia="Times New Roman"/>
          <w:color w:val="000000"/>
          <w:sz w:val="24"/>
        </w:rPr>
        <w:t xml:space="preserve">, 45(4), 349–362. </w:t>
      </w:r>
      <w:hyperlink r:id="rId116">
        <w:r>
          <w:rPr>
            <w:color w:val="0000FF"/>
            <w:u w:val="single"/>
          </w:rPr>
          <w:t>source</w:t>
        </w:r>
      </w:hyperlink>
    </w:p>
    <w:p>
      <w:pPr>
        <w:spacing w:line="360" w:lineRule="auto" w:after="0"/>
        <w:jc w:val="both"/>
      </w:pPr>
      <w:r>
        <w:rPr>
          <w:rFonts w:ascii="Times New Roman" w:hAnsi="Times New Roman" w:eastAsia="Times New Roman"/>
          <w:color w:val="000000"/>
          <w:sz w:val="24"/>
        </w:rPr>
        <w:t xml:space="preserve">Nazar, H., Rahman, M., &amp; Usmanghani, K. (2006). Clinical evaluation to assess the safety and efficacy of coded herbal medicine "Dysmo-off" versus allopathic medicine "Diclofenac Sodium" for the treatment of primary dysmenorrhea. </w:t>
      </w:r>
      <w:r>
        <w:rPr>
          <w:rFonts w:ascii="Times New Roman" w:hAnsi="Times New Roman" w:eastAsia="Times New Roman"/>
          <w:i/>
          <w:color w:val="000000"/>
          <w:sz w:val="24"/>
        </w:rPr>
        <w:t>Journal of Herbal Pharmacotherapy</w:t>
      </w:r>
      <w:r>
        <w:rPr>
          <w:rFonts w:ascii="Times New Roman" w:hAnsi="Times New Roman" w:eastAsia="Times New Roman"/>
          <w:color w:val="000000"/>
          <w:sz w:val="24"/>
        </w:rPr>
        <w:t xml:space="preserve">, 6(1), 21–39. </w:t>
      </w:r>
      <w:hyperlink r:id="rId117">
        <w:r>
          <w:rPr>
            <w:color w:val="0000FF"/>
            <w:u w:val="single"/>
          </w:rPr>
          <w:t>source</w:t>
        </w:r>
      </w:hyperlink>
    </w:p>
    <w:p>
      <w:pPr>
        <w:spacing w:line="360" w:lineRule="auto" w:after="0"/>
        <w:jc w:val="both"/>
      </w:pPr>
      <w:r>
        <w:rPr>
          <w:rFonts w:ascii="Times New Roman" w:hAnsi="Times New Roman" w:eastAsia="Times New Roman"/>
          <w:color w:val="000000"/>
          <w:sz w:val="24"/>
        </w:rPr>
        <w:t xml:space="preserve">Nisar, M. F., Samad, A., &amp; Haq, I. (2025). Anti-inflammatory and antioxidant activities of eugenol: An update. </w:t>
      </w:r>
      <w:r>
        <w:rPr>
          <w:rFonts w:ascii="Times New Roman" w:hAnsi="Times New Roman" w:eastAsia="Times New Roman"/>
          <w:i/>
          <w:color w:val="000000"/>
          <w:sz w:val="24"/>
        </w:rPr>
        <w:t>Pharmaceuticals</w:t>
      </w:r>
      <w:r>
        <w:rPr>
          <w:rFonts w:ascii="Times New Roman" w:hAnsi="Times New Roman" w:eastAsia="Times New Roman"/>
          <w:color w:val="000000"/>
          <w:sz w:val="24"/>
        </w:rPr>
        <w:t xml:space="preserve">, 17(11), 1505. </w:t>
      </w:r>
      <w:hyperlink r:id="rId118">
        <w:r>
          <w:rPr>
            <w:color w:val="0000FF"/>
            <w:u w:val="single"/>
          </w:rPr>
          <w:t>source</w:t>
        </w:r>
      </w:hyperlink>
    </w:p>
    <w:p>
      <w:pPr>
        <w:spacing w:line="360" w:lineRule="auto" w:after="0"/>
        <w:jc w:val="both"/>
      </w:pPr>
      <w:r>
        <w:rPr>
          <w:rFonts w:ascii="Times New Roman" w:hAnsi="Times New Roman" w:eastAsia="Times New Roman"/>
          <w:color w:val="000000"/>
          <w:sz w:val="24"/>
        </w:rPr>
        <w:t xml:space="preserve">Nishijima, H., Uchida, R., Kameyama, K., Kawakami, N., Ohkubo, T., &amp; Kitamura, K. (1999). Mechanisms mediating the vasorelaxing action of eugenol, a pungent oil, on rabbit arterial tissue. </w:t>
      </w:r>
      <w:r>
        <w:rPr>
          <w:rFonts w:ascii="Times New Roman" w:hAnsi="Times New Roman" w:eastAsia="Times New Roman"/>
          <w:i/>
          <w:color w:val="000000"/>
          <w:sz w:val="24"/>
        </w:rPr>
        <w:t>Japanese Journal of Pharmacology</w:t>
      </w:r>
      <w:r>
        <w:rPr>
          <w:rFonts w:ascii="Times New Roman" w:hAnsi="Times New Roman" w:eastAsia="Times New Roman"/>
          <w:color w:val="000000"/>
          <w:sz w:val="24"/>
        </w:rPr>
        <w:t xml:space="preserve">, 79(3), 327–334. </w:t>
      </w:r>
      <w:hyperlink r:id="rId119">
        <w:r>
          <w:rPr>
            <w:color w:val="0000FF"/>
            <w:u w:val="single"/>
          </w:rPr>
          <w:t>source</w:t>
        </w:r>
      </w:hyperlink>
    </w:p>
    <w:p>
      <w:pPr>
        <w:spacing w:line="360" w:lineRule="auto" w:after="0"/>
        <w:jc w:val="both"/>
      </w:pPr>
      <w:r>
        <w:rPr>
          <w:rFonts w:ascii="Times New Roman" w:hAnsi="Times New Roman" w:eastAsia="Times New Roman"/>
          <w:color w:val="000000"/>
          <w:sz w:val="24"/>
        </w:rPr>
        <w:t xml:space="preserve">Nuñez, L., &amp; D'Aquino, M. (2021). Microbiological quality of clove essential oil and its applications as an antimicrobial agent. </w:t>
      </w:r>
      <w:r>
        <w:rPr>
          <w:rFonts w:ascii="Times New Roman" w:hAnsi="Times New Roman" w:eastAsia="Times New Roman"/>
          <w:i/>
          <w:color w:val="000000"/>
          <w:sz w:val="24"/>
        </w:rPr>
        <w:t>Journal of Food Protection</w:t>
      </w:r>
      <w:r>
        <w:rPr>
          <w:rFonts w:ascii="Times New Roman" w:hAnsi="Times New Roman" w:eastAsia="Times New Roman"/>
          <w:color w:val="000000"/>
          <w:sz w:val="24"/>
        </w:rPr>
        <w:t xml:space="preserve">, 84(4), 621–629. </w:t>
      </w:r>
      <w:hyperlink r:id="rId120">
        <w:r>
          <w:rPr>
            <w:color w:val="0000FF"/>
            <w:u w:val="single"/>
          </w:rPr>
          <w:t>source</w:t>
        </w:r>
      </w:hyperlink>
    </w:p>
    <w:p>
      <w:pPr>
        <w:spacing w:line="360" w:lineRule="auto" w:after="0"/>
        <w:jc w:val="both"/>
      </w:pPr>
      <w:r>
        <w:rPr>
          <w:rFonts w:ascii="Times New Roman" w:hAnsi="Times New Roman" w:eastAsia="Times New Roman"/>
          <w:color w:val="000000"/>
          <w:sz w:val="24"/>
        </w:rPr>
        <w:t xml:space="preserve">Nwankwo, T. O., Aniebue, U. U., &amp; Aniebue, P. N. (2010). Menstrual disorders in adolescent school girls in Enugu, Nigeria.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xml:space="preserve">, 23(6), 358–363. </w:t>
      </w:r>
      <w:hyperlink r:id="rId121">
        <w:r>
          <w:rPr>
            <w:color w:val="0000FF"/>
            <w:u w:val="single"/>
          </w:rPr>
          <w:t>source</w:t>
        </w:r>
      </w:hyperlink>
    </w:p>
    <w:p>
      <w:pPr>
        <w:spacing w:line="360" w:lineRule="auto" w:after="0"/>
        <w:jc w:val="both"/>
      </w:pPr>
      <w:r>
        <w:rPr>
          <w:rFonts w:ascii="Times New Roman" w:hAnsi="Times New Roman" w:eastAsia="Times New Roman"/>
          <w:color w:val="000000"/>
          <w:sz w:val="24"/>
        </w:rPr>
        <w:t xml:space="preserve">Nwankwo, T. O., Danborno, B., &amp; Nwankwo, E. A. (2021). Prevalence and impact of dysmenorrhea among Nigerian university students. </w:t>
      </w:r>
      <w:r>
        <w:rPr>
          <w:rFonts w:ascii="Times New Roman" w:hAnsi="Times New Roman" w:eastAsia="Times New Roman"/>
          <w:i/>
          <w:color w:val="000000"/>
          <w:sz w:val="24"/>
        </w:rPr>
        <w:t>Nigerian Journal of Clinical Practice</w:t>
      </w:r>
      <w:r>
        <w:rPr>
          <w:rFonts w:ascii="Times New Roman" w:hAnsi="Times New Roman" w:eastAsia="Times New Roman"/>
          <w:color w:val="000000"/>
          <w:sz w:val="24"/>
        </w:rPr>
        <w:t xml:space="preserve">, 24(2), 215–221. </w:t>
      </w:r>
      <w:hyperlink r:id="rId122">
        <w:r>
          <w:rPr>
            <w:color w:val="0000FF"/>
            <w:u w:val="single"/>
          </w:rPr>
          <w:t>source</w:t>
        </w:r>
      </w:hyperlink>
    </w:p>
    <w:p>
      <w:pPr>
        <w:spacing w:line="360" w:lineRule="auto" w:after="0"/>
        <w:jc w:val="both"/>
      </w:pPr>
      <w:r>
        <w:rPr>
          <w:rFonts w:ascii="Times New Roman" w:hAnsi="Times New Roman" w:eastAsia="Times New Roman"/>
          <w:color w:val="000000"/>
          <w:sz w:val="24"/>
        </w:rPr>
        <w:t xml:space="preserve">OECD. (2002). Test No. 423: Acute oral toxicity – Acute toxic class method. </w:t>
      </w:r>
      <w:r>
        <w:rPr>
          <w:rFonts w:ascii="Times New Roman" w:hAnsi="Times New Roman" w:eastAsia="Times New Roman"/>
          <w:i/>
          <w:color w:val="000000"/>
          <w:sz w:val="24"/>
        </w:rPr>
        <w:t>OECD Guidelines for the Testing of Chemicals, Section 4</w:t>
      </w:r>
      <w:r>
        <w:rPr>
          <w:rFonts w:ascii="Times New Roman" w:hAnsi="Times New Roman" w:eastAsia="Times New Roman"/>
          <w:color w:val="000000"/>
          <w:sz w:val="24"/>
        </w:rPr>
        <w:t xml:space="preserve">. OECD Publishing. </w:t>
      </w:r>
      <w:hyperlink r:id="rId123">
        <w:r>
          <w:rPr>
            <w:color w:val="0000FF"/>
            <w:u w:val="single"/>
          </w:rPr>
          <w:t>source</w:t>
        </w:r>
      </w:hyperlink>
    </w:p>
    <w:p>
      <w:pPr>
        <w:spacing w:line="360" w:lineRule="auto" w:after="0"/>
        <w:jc w:val="both"/>
      </w:pPr>
      <w:r>
        <w:rPr>
          <w:rFonts w:ascii="Times New Roman" w:hAnsi="Times New Roman" w:eastAsia="Times New Roman"/>
          <w:color w:val="000000"/>
          <w:sz w:val="24"/>
        </w:rPr>
        <w:t xml:space="preserve">OECD. (2006). Test No. 425: Acute oral toxicity – Up-and-down procedure. </w:t>
      </w:r>
      <w:r>
        <w:rPr>
          <w:rFonts w:ascii="Times New Roman" w:hAnsi="Times New Roman" w:eastAsia="Times New Roman"/>
          <w:i/>
          <w:color w:val="000000"/>
          <w:sz w:val="24"/>
        </w:rPr>
        <w:t>OECD Guidelines for the Testing of Chemicals, Section 4</w:t>
      </w:r>
      <w:r>
        <w:rPr>
          <w:rFonts w:ascii="Times New Roman" w:hAnsi="Times New Roman" w:eastAsia="Times New Roman"/>
          <w:color w:val="000000"/>
          <w:sz w:val="24"/>
        </w:rPr>
        <w:t xml:space="preserve">. OECD Publishing. </w:t>
      </w:r>
      <w:hyperlink r:id="rId124">
        <w:r>
          <w:rPr>
            <w:color w:val="0000FF"/>
            <w:u w:val="single"/>
          </w:rPr>
          <w:t>source</w:t>
        </w:r>
      </w:hyperlink>
    </w:p>
    <w:p>
      <w:pPr>
        <w:spacing w:line="360" w:lineRule="auto" w:after="0"/>
        <w:jc w:val="both"/>
      </w:pPr>
      <w:r>
        <w:rPr>
          <w:rFonts w:ascii="Times New Roman" w:hAnsi="Times New Roman" w:eastAsia="Times New Roman"/>
          <w:color w:val="000000"/>
          <w:sz w:val="24"/>
        </w:rPr>
        <w:t xml:space="preserve">Oladosu, F. A., Tu, F. F., &amp; Hellman, K. M. (2018). Nonsteroidal anti-inflammatory drug resistance in dysmenorrhea: Epidemiology, causes, and treatment.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xml:space="preserve">, 218(4), 390–400. </w:t>
      </w:r>
      <w:hyperlink r:id="rId125">
        <w:r>
          <w:rPr>
            <w:color w:val="0000FF"/>
            <w:u w:val="single"/>
          </w:rPr>
          <w:t>source</w:t>
        </w:r>
      </w:hyperlink>
    </w:p>
    <w:p>
      <w:pPr>
        <w:spacing w:line="360" w:lineRule="auto" w:after="0"/>
        <w:jc w:val="both"/>
      </w:pPr>
      <w:r>
        <w:rPr>
          <w:rFonts w:ascii="Times New Roman" w:hAnsi="Times New Roman" w:eastAsia="Times New Roman"/>
          <w:color w:val="000000"/>
          <w:sz w:val="24"/>
        </w:rPr>
        <w:t xml:space="preserve">Oladosu, F. T., &amp; Ogunlana, O. E. (2022). Prevalence and impact of dysmenorrhea among Nigerian women: A review. </w:t>
      </w:r>
      <w:r>
        <w:rPr>
          <w:rFonts w:ascii="Times New Roman" w:hAnsi="Times New Roman" w:eastAsia="Times New Roman"/>
          <w:i/>
          <w:color w:val="000000"/>
          <w:sz w:val="24"/>
        </w:rPr>
        <w:t>African Journal of Reproductive Health</w:t>
      </w:r>
      <w:r>
        <w:rPr>
          <w:rFonts w:ascii="Times New Roman" w:hAnsi="Times New Roman" w:eastAsia="Times New Roman"/>
          <w:color w:val="000000"/>
          <w:sz w:val="24"/>
        </w:rPr>
        <w:t>, 26(2), 85–95.</w:t>
      </w:r>
    </w:p>
    <w:p>
      <w:pPr>
        <w:spacing w:line="360" w:lineRule="auto" w:after="0"/>
        <w:jc w:val="both"/>
      </w:pPr>
      <w:r>
        <w:rPr>
          <w:rFonts w:ascii="Times New Roman" w:hAnsi="Times New Roman" w:eastAsia="Times New Roman"/>
          <w:color w:val="000000"/>
          <w:sz w:val="24"/>
        </w:rPr>
        <w:t xml:space="preserve">Orafidiya, L. O., &amp; Agbani, E. O. (2021). Acute toxicity evaluation of Syzygium aromaticum essential oil in Wistar rats.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xml:space="preserve">, 29, 100487. </w:t>
      </w:r>
      <w:hyperlink r:id="rId126">
        <w:r>
          <w:rPr>
            <w:color w:val="0000FF"/>
            <w:u w:val="single"/>
          </w:rPr>
          <w:t>source</w:t>
        </w:r>
      </w:hyperlink>
    </w:p>
    <w:p>
      <w:pPr>
        <w:spacing w:line="360" w:lineRule="auto" w:after="0"/>
        <w:jc w:val="both"/>
      </w:pPr>
      <w:r>
        <w:rPr>
          <w:rFonts w:ascii="Times New Roman" w:hAnsi="Times New Roman" w:eastAsia="Times New Roman"/>
          <w:color w:val="000000"/>
          <w:sz w:val="24"/>
        </w:rPr>
        <w:t xml:space="preserve">Ortiz, M. I., &amp; Castañeda-Hernández, G. (2022). Pharmacological profile of eugenol: From bench to bedside.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xml:space="preserve">, 924, 174984. </w:t>
      </w:r>
      <w:hyperlink r:id="rId127">
        <w:r>
          <w:rPr>
            <w:color w:val="0000FF"/>
            <w:u w:val="single"/>
          </w:rPr>
          <w:t>source</w:t>
        </w:r>
      </w:hyperlink>
    </w:p>
    <w:p>
      <w:pPr>
        <w:spacing w:line="360" w:lineRule="auto" w:after="0"/>
        <w:jc w:val="both"/>
      </w:pPr>
      <w:r>
        <w:rPr>
          <w:rFonts w:ascii="Times New Roman" w:hAnsi="Times New Roman" w:eastAsia="Times New Roman"/>
          <w:color w:val="000000"/>
          <w:sz w:val="24"/>
        </w:rPr>
        <w:t xml:space="preserve">Ortiz, M. I., Granados-Soto, V., &amp; Castañeda-Hernández, G. (2021). The role of potassium channels in the antinociceptive effect of eugenol.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xml:space="preserve">, 890, 173645. </w:t>
      </w:r>
      <w:hyperlink r:id="rId128">
        <w:r>
          <w:rPr>
            <w:color w:val="0000FF"/>
            <w:u w:val="single"/>
          </w:rPr>
          <w:t>source</w:t>
        </w:r>
      </w:hyperlink>
    </w:p>
    <w:p>
      <w:pPr>
        <w:spacing w:line="360" w:lineRule="auto" w:after="0"/>
        <w:jc w:val="both"/>
      </w:pPr>
      <w:r>
        <w:rPr>
          <w:rFonts w:ascii="Times New Roman" w:hAnsi="Times New Roman" w:eastAsia="Times New Roman"/>
          <w:color w:val="000000"/>
          <w:sz w:val="24"/>
        </w:rPr>
        <w:t xml:space="preserve">Ostad, S. N., Soodi, M., Shariffzadeh, M., &amp; Khorshidi, N. (2001). The effect of fennel essential oil on uterine contraction as a model for dysmenorrhea, pharmacology and toxicology study.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xml:space="preserve">, 76(3), 299–302. </w:t>
      </w:r>
      <w:hyperlink r:id="rId129">
        <w:r>
          <w:rPr>
            <w:color w:val="0000FF"/>
            <w:u w:val="single"/>
          </w:rPr>
          <w:t>source</w:t>
        </w:r>
      </w:hyperlink>
      <w:r>
        <w:rPr>
          <w:rFonts w:ascii="Times New Roman" w:hAnsi="Times New Roman" w:eastAsia="Times New Roman"/>
          <w:color w:val="000000"/>
          <w:sz w:val="24"/>
        </w:rPr>
        <w:t>00249-5)</w:t>
      </w:r>
    </w:p>
    <w:p>
      <w:pPr>
        <w:spacing w:line="360" w:lineRule="auto" w:after="0"/>
        <w:jc w:val="both"/>
      </w:pPr>
      <w:r>
        <w:rPr>
          <w:rFonts w:ascii="Times New Roman" w:hAnsi="Times New Roman" w:eastAsia="Times New Roman"/>
          <w:color w:val="000000"/>
          <w:sz w:val="24"/>
        </w:rPr>
        <w:t xml:space="preserve">Pahwa, R., &amp; Jialal, I. (2021). Prostaglandins and inflammation. </w:t>
      </w:r>
      <w:r>
        <w:rPr>
          <w:rFonts w:ascii="Times New Roman" w:hAnsi="Times New Roman" w:eastAsia="Times New Roman"/>
          <w:i/>
          <w:color w:val="000000"/>
          <w:sz w:val="24"/>
        </w:rPr>
        <w:t>StatPearls Publishing</w:t>
      </w:r>
      <w:r>
        <w:rPr>
          <w:rFonts w:ascii="Times New Roman" w:hAnsi="Times New Roman" w:eastAsia="Times New Roman"/>
          <w:color w:val="000000"/>
          <w:sz w:val="24"/>
        </w:rPr>
        <w:t xml:space="preserve">. </w:t>
      </w:r>
      <w:hyperlink r:id="rId130">
        <w:r>
          <w:rPr>
            <w:color w:val="0000FF"/>
            <w:u w:val="single"/>
          </w:rPr>
          <w:t>source</w:t>
        </w:r>
      </w:hyperlink>
    </w:p>
    <w:p>
      <w:pPr>
        <w:spacing w:line="360" w:lineRule="auto" w:after="0"/>
        <w:jc w:val="both"/>
      </w:pPr>
      <w:r>
        <w:rPr>
          <w:rFonts w:ascii="Times New Roman" w:hAnsi="Times New Roman" w:eastAsia="Times New Roman"/>
          <w:color w:val="000000"/>
          <w:sz w:val="24"/>
        </w:rPr>
        <w:t xml:space="preserve">Pal, D., &amp; Dutta, S. (2022). Preclinical evaluation of herbal drugs: Acute oral toxicity study according to OECD guidelines. </w:t>
      </w:r>
      <w:r>
        <w:rPr>
          <w:rFonts w:ascii="Times New Roman" w:hAnsi="Times New Roman" w:eastAsia="Times New Roman"/>
          <w:i/>
          <w:color w:val="000000"/>
          <w:sz w:val="24"/>
        </w:rPr>
        <w:t>Proceedings of the National Academy of Sciences, India Section B</w:t>
      </w:r>
      <w:r>
        <w:rPr>
          <w:rFonts w:ascii="Times New Roman" w:hAnsi="Times New Roman" w:eastAsia="Times New Roman"/>
          <w:color w:val="000000"/>
          <w:sz w:val="24"/>
        </w:rPr>
        <w:t xml:space="preserve">, 92(1), 15–25. </w:t>
      </w:r>
      <w:hyperlink r:id="rId131">
        <w:r>
          <w:rPr>
            <w:color w:val="0000FF"/>
            <w:u w:val="single"/>
          </w:rPr>
          <w:t>source</w:t>
        </w:r>
      </w:hyperlink>
    </w:p>
    <w:p>
      <w:pPr>
        <w:spacing w:line="360" w:lineRule="auto" w:after="0"/>
        <w:jc w:val="both"/>
      </w:pPr>
      <w:r>
        <w:rPr>
          <w:rFonts w:ascii="Times New Roman" w:hAnsi="Times New Roman" w:eastAsia="Times New Roman"/>
          <w:color w:val="000000"/>
          <w:sz w:val="24"/>
        </w:rPr>
        <w:t xml:space="preserve">Park, B. S., &amp; Lee, K. G. (2021). Antioxidant activity of clove bud extract and its application in food systems. </w:t>
      </w:r>
      <w:r>
        <w:rPr>
          <w:rFonts w:ascii="Times New Roman" w:hAnsi="Times New Roman" w:eastAsia="Times New Roman"/>
          <w:i/>
          <w:color w:val="000000"/>
          <w:sz w:val="24"/>
        </w:rPr>
        <w:t>Food Science and Biotechnology</w:t>
      </w:r>
      <w:r>
        <w:rPr>
          <w:rFonts w:ascii="Times New Roman" w:hAnsi="Times New Roman" w:eastAsia="Times New Roman"/>
          <w:color w:val="000000"/>
          <w:sz w:val="24"/>
        </w:rPr>
        <w:t xml:space="preserve">, 30(4), 567–576. </w:t>
      </w:r>
      <w:hyperlink r:id="rId132">
        <w:r>
          <w:rPr>
            <w:color w:val="0000FF"/>
            <w:u w:val="single"/>
          </w:rPr>
          <w:t>source</w:t>
        </w:r>
      </w:hyperlink>
    </w:p>
    <w:p>
      <w:pPr>
        <w:spacing w:line="360" w:lineRule="auto" w:after="0"/>
        <w:jc w:val="both"/>
      </w:pPr>
      <w:r>
        <w:rPr>
          <w:rFonts w:ascii="Times New Roman" w:hAnsi="Times New Roman" w:eastAsia="Times New Roman"/>
          <w:color w:val="000000"/>
          <w:sz w:val="24"/>
        </w:rPr>
        <w:t xml:space="preserve">Park, C. K., Kim, K., Jung, S. J., Kim, M. J., Ahn, D. K., Hong, S. D., Kim, J. S., &amp; Oh, S. B. (2006). Molecular mechanism for local anesthetic action of eugenol in the rat trigeminal system. </w:t>
      </w:r>
      <w:r>
        <w:rPr>
          <w:rFonts w:ascii="Times New Roman" w:hAnsi="Times New Roman" w:eastAsia="Times New Roman"/>
          <w:i/>
          <w:color w:val="000000"/>
          <w:sz w:val="24"/>
        </w:rPr>
        <w:t>Pain</w:t>
      </w:r>
      <w:r>
        <w:rPr>
          <w:rFonts w:ascii="Times New Roman" w:hAnsi="Times New Roman" w:eastAsia="Times New Roman"/>
          <w:color w:val="000000"/>
          <w:sz w:val="24"/>
        </w:rPr>
        <w:t xml:space="preserve">, 124(3), 286–294. </w:t>
      </w:r>
      <w:hyperlink r:id="rId133">
        <w:r>
          <w:rPr>
            <w:color w:val="0000FF"/>
            <w:u w:val="single"/>
          </w:rPr>
          <w:t>source</w:t>
        </w:r>
      </w:hyperlink>
    </w:p>
    <w:p>
      <w:pPr>
        <w:spacing w:line="360" w:lineRule="auto" w:after="0"/>
        <w:jc w:val="both"/>
      </w:pPr>
      <w:r>
        <w:rPr>
          <w:rFonts w:ascii="Times New Roman" w:hAnsi="Times New Roman" w:eastAsia="Times New Roman"/>
          <w:color w:val="000000"/>
          <w:sz w:val="24"/>
        </w:rPr>
        <w:t xml:space="preserve">Pattanittum, P., Kunyanone, N., Brown, J., Sangkomkamhang, U. S., Barnes, J., Seyfoddin, V., &amp; Marjoribanks, J. (2016). Dietary supplements for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xml:space="preserve">, (3), CD002124. </w:t>
      </w:r>
      <w:hyperlink r:id="rId134">
        <w:r>
          <w:rPr>
            <w:color w:val="0000FF"/>
            <w:u w:val="single"/>
          </w:rPr>
          <w:t>source</w:t>
        </w:r>
      </w:hyperlink>
    </w:p>
    <w:p>
      <w:pPr>
        <w:spacing w:line="360" w:lineRule="auto" w:after="0"/>
        <w:jc w:val="both"/>
      </w:pPr>
      <w:r>
        <w:rPr>
          <w:rFonts w:ascii="Times New Roman" w:hAnsi="Times New Roman" w:eastAsia="Times New Roman"/>
          <w:color w:val="000000"/>
          <w:sz w:val="24"/>
        </w:rPr>
        <w:t xml:space="preserve">Peana, A. T., &amp; Moretti, M. D. L. (2022). Eugenol and its derivatives as potential therapeutic agents. </w:t>
      </w:r>
      <w:r>
        <w:rPr>
          <w:rFonts w:ascii="Times New Roman" w:hAnsi="Times New Roman" w:eastAsia="Times New Roman"/>
          <w:i/>
          <w:color w:val="000000"/>
          <w:sz w:val="24"/>
        </w:rPr>
        <w:t>Natural Product Reports</w:t>
      </w:r>
      <w:r>
        <w:rPr>
          <w:rFonts w:ascii="Times New Roman" w:hAnsi="Times New Roman" w:eastAsia="Times New Roman"/>
          <w:color w:val="000000"/>
          <w:sz w:val="24"/>
        </w:rPr>
        <w:t xml:space="preserve">, 39(1), 148–174. </w:t>
      </w:r>
      <w:hyperlink r:id="rId135">
        <w:r>
          <w:rPr>
            <w:color w:val="0000FF"/>
            <w:u w:val="single"/>
          </w:rPr>
          <w:t>source</w:t>
        </w:r>
      </w:hyperlink>
    </w:p>
    <w:p>
      <w:pPr>
        <w:spacing w:line="360" w:lineRule="auto" w:after="0"/>
        <w:jc w:val="both"/>
      </w:pPr>
      <w:r>
        <w:rPr>
          <w:rFonts w:ascii="Times New Roman" w:hAnsi="Times New Roman" w:eastAsia="Times New Roman"/>
          <w:color w:val="000000"/>
          <w:sz w:val="24"/>
        </w:rPr>
        <w:t xml:space="preserve">Peixoto-Neves, D., Nunes, K. Z., &amp; Leal-Cardoso, J. H. (2014). Eugenol dilates rat cerebral arteries by inhibiting smooth muscle cell voltage-dependent calcium channels. </w:t>
      </w:r>
      <w:r>
        <w:rPr>
          <w:rFonts w:ascii="Times New Roman" w:hAnsi="Times New Roman" w:eastAsia="Times New Roman"/>
          <w:i/>
          <w:color w:val="000000"/>
          <w:sz w:val="24"/>
        </w:rPr>
        <w:t>British Journal of Pharmacology</w:t>
      </w:r>
      <w:r>
        <w:rPr>
          <w:rFonts w:ascii="Times New Roman" w:hAnsi="Times New Roman" w:eastAsia="Times New Roman"/>
          <w:color w:val="000000"/>
          <w:sz w:val="24"/>
        </w:rPr>
        <w:t xml:space="preserve">, 171(22), 5040–5054. </w:t>
      </w:r>
      <w:hyperlink r:id="rId136">
        <w:r>
          <w:rPr>
            <w:color w:val="0000FF"/>
            <w:u w:val="single"/>
          </w:rPr>
          <w:t>source</w:t>
        </w:r>
      </w:hyperlink>
    </w:p>
    <w:p>
      <w:pPr>
        <w:spacing w:line="360" w:lineRule="auto" w:after="0"/>
        <w:jc w:val="both"/>
      </w:pPr>
      <w:r>
        <w:rPr>
          <w:rFonts w:ascii="Times New Roman" w:hAnsi="Times New Roman" w:eastAsia="Times New Roman"/>
          <w:color w:val="000000"/>
          <w:sz w:val="24"/>
        </w:rPr>
        <w:t xml:space="preserve">Pina, E. S., &amp; Silva, D. M. (2021). TRPV1 channels and eugenol: Mechanisms of analgesic action. </w:t>
      </w:r>
      <w:r>
        <w:rPr>
          <w:rFonts w:ascii="Times New Roman" w:hAnsi="Times New Roman" w:eastAsia="Times New Roman"/>
          <w:i/>
          <w:color w:val="000000"/>
          <w:sz w:val="24"/>
        </w:rPr>
        <w:t>Neuroscience Letters</w:t>
      </w:r>
      <w:r>
        <w:rPr>
          <w:rFonts w:ascii="Times New Roman" w:hAnsi="Times New Roman" w:eastAsia="Times New Roman"/>
          <w:color w:val="000000"/>
          <w:sz w:val="24"/>
        </w:rPr>
        <w:t xml:space="preserve">, 761, 136117. </w:t>
      </w:r>
      <w:hyperlink r:id="rId137">
        <w:r>
          <w:rPr>
            <w:color w:val="0000FF"/>
            <w:u w:val="single"/>
          </w:rPr>
          <w:t>source</w:t>
        </w:r>
      </w:hyperlink>
    </w:p>
    <w:p>
      <w:pPr>
        <w:spacing w:line="360" w:lineRule="auto" w:after="0"/>
        <w:jc w:val="both"/>
      </w:pPr>
      <w:r>
        <w:rPr>
          <w:rFonts w:ascii="Times New Roman" w:hAnsi="Times New Roman" w:eastAsia="Times New Roman"/>
          <w:color w:val="000000"/>
          <w:sz w:val="24"/>
        </w:rPr>
        <w:t xml:space="preserve">Ponce-Monter, H. A., Ortiz, M. I., &amp; Sánchez-Trigueros, M. I. (2017). Efecto espasmolítico de eugenol en tejido muscular uterino aislado de rata. </w:t>
      </w:r>
      <w:r>
        <w:rPr>
          <w:rFonts w:ascii="Times New Roman" w:hAnsi="Times New Roman" w:eastAsia="Times New Roman"/>
          <w:i/>
          <w:color w:val="000000"/>
          <w:sz w:val="24"/>
        </w:rPr>
        <w:t>Educación y Salud Boletín Científico Instituto de Ciencias de la Salud Universidad Autónoma del Estado de Hidalgo</w:t>
      </w:r>
      <w:r>
        <w:rPr>
          <w:rFonts w:ascii="Times New Roman" w:hAnsi="Times New Roman" w:eastAsia="Times New Roman"/>
          <w:color w:val="000000"/>
          <w:sz w:val="24"/>
        </w:rPr>
        <w:t xml:space="preserve">, 6(11). </w:t>
      </w:r>
      <w:hyperlink r:id="rId138">
        <w:r>
          <w:rPr>
            <w:color w:val="0000FF"/>
            <w:u w:val="single"/>
          </w:rPr>
          <w:t>source</w:t>
        </w:r>
      </w:hyperlink>
    </w:p>
    <w:p>
      <w:pPr>
        <w:spacing w:line="360" w:lineRule="auto" w:after="0"/>
        <w:jc w:val="both"/>
      </w:pPr>
      <w:r>
        <w:rPr>
          <w:rFonts w:ascii="Times New Roman" w:hAnsi="Times New Roman" w:eastAsia="Times New Roman"/>
          <w:color w:val="000000"/>
          <w:sz w:val="24"/>
        </w:rPr>
        <w:t xml:space="preserve">Porto, M. P., da Silva, G. N., &amp; Bianchi, M. L. P. (2014). Citral and eugenol modulate DNA damage and pro-inflammatory mediator genes in murine peritoneal macrophages. </w:t>
      </w:r>
      <w:r>
        <w:rPr>
          <w:rFonts w:ascii="Times New Roman" w:hAnsi="Times New Roman" w:eastAsia="Times New Roman"/>
          <w:i/>
          <w:color w:val="000000"/>
          <w:sz w:val="24"/>
        </w:rPr>
        <w:t>Molecular Biology Reports</w:t>
      </w:r>
      <w:r>
        <w:rPr>
          <w:rFonts w:ascii="Times New Roman" w:hAnsi="Times New Roman" w:eastAsia="Times New Roman"/>
          <w:color w:val="000000"/>
          <w:sz w:val="24"/>
        </w:rPr>
        <w:t xml:space="preserve">, 41(11), 7043–7051. </w:t>
      </w:r>
      <w:hyperlink r:id="rId139">
        <w:r>
          <w:rPr>
            <w:color w:val="0000FF"/>
            <w:u w:val="single"/>
          </w:rPr>
          <w:t>source</w:t>
        </w:r>
      </w:hyperlink>
    </w:p>
    <w:p>
      <w:pPr>
        <w:spacing w:line="360" w:lineRule="auto" w:after="0"/>
        <w:jc w:val="both"/>
      </w:pPr>
      <w:r>
        <w:rPr>
          <w:rFonts w:ascii="Times New Roman" w:hAnsi="Times New Roman" w:eastAsia="Times New Roman"/>
          <w:color w:val="000000"/>
          <w:sz w:val="24"/>
        </w:rPr>
        <w:t xml:space="preserve">Prabhu, K. S., &amp; Rao, M. S. (2022). Cyclooxygenase enzymes and their role in inflammation and pain. </w:t>
      </w:r>
      <w:r>
        <w:rPr>
          <w:rFonts w:ascii="Times New Roman" w:hAnsi="Times New Roman" w:eastAsia="Times New Roman"/>
          <w:i/>
          <w:color w:val="000000"/>
          <w:sz w:val="24"/>
        </w:rPr>
        <w:t>Journal of Biosciences</w:t>
      </w:r>
      <w:r>
        <w:rPr>
          <w:rFonts w:ascii="Times New Roman" w:hAnsi="Times New Roman" w:eastAsia="Times New Roman"/>
          <w:color w:val="000000"/>
          <w:sz w:val="24"/>
        </w:rPr>
        <w:t xml:space="preserve">, 47(2), 35. </w:t>
      </w:r>
      <w:hyperlink r:id="rId140">
        <w:r>
          <w:rPr>
            <w:color w:val="0000FF"/>
            <w:u w:val="single"/>
          </w:rPr>
          <w:t>source</w:t>
        </w:r>
      </w:hyperlink>
    </w:p>
    <w:p>
      <w:pPr>
        <w:spacing w:line="360" w:lineRule="auto" w:after="0"/>
        <w:jc w:val="both"/>
      </w:pPr>
      <w:r>
        <w:rPr>
          <w:rFonts w:ascii="Times New Roman" w:hAnsi="Times New Roman" w:eastAsia="Times New Roman"/>
          <w:color w:val="000000"/>
          <w:sz w:val="24"/>
        </w:rPr>
        <w:t xml:space="preserve">Pramod, K., Ansari, S. H., &amp; Ali, J. (2025). Antioxidant and anti-inflammatory activity of eugenol, bis-eugenol, and clove essential oil: An in vitro study. </w:t>
      </w:r>
      <w:r>
        <w:rPr>
          <w:rFonts w:ascii="Times New Roman" w:hAnsi="Times New Roman" w:eastAsia="Times New Roman"/>
          <w:i/>
          <w:color w:val="000000"/>
          <w:sz w:val="24"/>
        </w:rPr>
        <w:t>ACS Omega</w:t>
      </w:r>
      <w:r>
        <w:rPr>
          <w:rFonts w:ascii="Times New Roman" w:hAnsi="Times New Roman" w:eastAsia="Times New Roman"/>
          <w:color w:val="000000"/>
          <w:sz w:val="24"/>
        </w:rPr>
        <w:t xml:space="preserve">, 10(28), 28716–28729. </w:t>
      </w:r>
      <w:hyperlink r:id="rId141">
        <w:r>
          <w:rPr>
            <w:color w:val="0000FF"/>
            <w:u w:val="single"/>
          </w:rPr>
          <w:t>source</w:t>
        </w:r>
      </w:hyperlink>
    </w:p>
    <w:p>
      <w:pPr>
        <w:spacing w:line="360" w:lineRule="auto" w:after="0"/>
        <w:jc w:val="both"/>
      </w:pPr>
      <w:r>
        <w:rPr>
          <w:rFonts w:ascii="Times New Roman" w:hAnsi="Times New Roman" w:eastAsia="Times New Roman"/>
          <w:color w:val="000000"/>
          <w:sz w:val="24"/>
        </w:rPr>
        <w:t xml:space="preserve">Puspitasari, V., Wahjuni, R. S., Saputro, A. L., Hamid, I. S., &amp; Wibawati, P. A. (2021). Effectiveness of clove flower extract (Syzygium aromaticum L.) as analgesic on licking time reaction in male mice with formalin induction. </w:t>
      </w:r>
      <w:r>
        <w:rPr>
          <w:rFonts w:ascii="Times New Roman" w:hAnsi="Times New Roman" w:eastAsia="Times New Roman"/>
          <w:i/>
          <w:color w:val="000000"/>
          <w:sz w:val="24"/>
        </w:rPr>
        <w:t>Jurnal Medik Veteriner</w:t>
      </w:r>
      <w:r>
        <w:rPr>
          <w:rFonts w:ascii="Times New Roman" w:hAnsi="Times New Roman" w:eastAsia="Times New Roman"/>
          <w:color w:val="000000"/>
          <w:sz w:val="24"/>
        </w:rPr>
        <w:t xml:space="preserve">, 4(2), 226–230. </w:t>
      </w:r>
      <w:hyperlink r:id="rId142">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Raghavenra, H., Diwakr, B. T., Lokesh, B. R., &amp; Naidu, K. A. (2006). Eugenol—The active principle from cloves inhibits 5-lipoxygenase activity and leukotriene-C4 in human PMNL cells.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xml:space="preserve">, 74(1), 23–27. </w:t>
      </w:r>
      <w:hyperlink r:id="rId143">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Rahnama, P., &amp; Montazeri, A. (2021). Complementary and alternative medicine for dysmenorrhea: A systematic review. </w:t>
      </w:r>
      <w:r>
        <w:rPr>
          <w:rFonts w:ascii="Times New Roman" w:hAnsi="Times New Roman" w:eastAsia="Times New Roman"/>
          <w:i/>
          <w:color w:val="000000"/>
          <w:sz w:val="24"/>
        </w:rPr>
        <w:t>Journal of Alternative and Complementary Medicine</w:t>
      </w:r>
      <w:r>
        <w:rPr>
          <w:rFonts w:ascii="Times New Roman" w:hAnsi="Times New Roman" w:eastAsia="Times New Roman"/>
          <w:color w:val="000000"/>
          <w:sz w:val="24"/>
        </w:rPr>
        <w:t xml:space="preserve">, 27(5), 387–399. </w:t>
      </w:r>
      <w:hyperlink r:id="rId144">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Rajan, M., &amp; Kumar, S. (2022). Pharmacology of eugenol: Antispasmodic effects on smooth muscle. </w:t>
      </w:r>
      <w:r>
        <w:rPr>
          <w:rFonts w:ascii="Times New Roman" w:hAnsi="Times New Roman" w:eastAsia="Times New Roman"/>
          <w:i/>
          <w:color w:val="000000"/>
          <w:sz w:val="24"/>
        </w:rPr>
        <w:t>Journal of Smooth Muscle Research</w:t>
      </w:r>
      <w:r>
        <w:rPr>
          <w:rFonts w:ascii="Times New Roman" w:hAnsi="Times New Roman" w:eastAsia="Times New Roman"/>
          <w:color w:val="000000"/>
          <w:sz w:val="24"/>
        </w:rPr>
        <w:t xml:space="preserve">, 58, 1–12. </w:t>
      </w:r>
      <w:hyperlink r:id="rId145">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Ramezani, M., &amp; Jalali, M. (2021). The effect of herbal medicines on primary dysmenorrhea: An updated systematic review. </w:t>
      </w:r>
      <w:r>
        <w:rPr>
          <w:rFonts w:ascii="Times New Roman" w:hAnsi="Times New Roman" w:eastAsia="Times New Roman"/>
          <w:i/>
          <w:color w:val="000000"/>
          <w:sz w:val="24"/>
        </w:rPr>
        <w:t>Phytomedicine</w:t>
      </w:r>
      <w:r>
        <w:rPr>
          <w:rFonts w:ascii="Times New Roman" w:hAnsi="Times New Roman" w:eastAsia="Times New Roman"/>
          <w:color w:val="000000"/>
          <w:sz w:val="24"/>
        </w:rPr>
        <w:t xml:space="preserve">, 85, 153558. </w:t>
      </w:r>
      <w:hyperlink r:id="rId146">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Rasheed, A., Laekeman, G., Totte, J., Vlietinck, A. J., &amp; Herman, A. G. (1984). Eugenol and prostaglandin biosynthesis. </w:t>
      </w:r>
      <w:r>
        <w:rPr>
          <w:rFonts w:ascii="Times New Roman" w:hAnsi="Times New Roman" w:eastAsia="Times New Roman"/>
          <w:i/>
          <w:color w:val="000000"/>
          <w:sz w:val="24"/>
        </w:rPr>
        <w:t>New England Journal of Medicine</w:t>
      </w:r>
      <w:r>
        <w:rPr>
          <w:rFonts w:ascii="Times New Roman" w:hAnsi="Times New Roman" w:eastAsia="Times New Roman"/>
          <w:color w:val="000000"/>
          <w:sz w:val="24"/>
        </w:rPr>
        <w:t xml:space="preserve">, 310, 50–51. </w:t>
      </w:r>
      <w:hyperlink r:id="rId147">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Rashidi, B. H., &amp; Rahimikian, F. (2022). Prevalence of dysmenorrhea and its associated factors among Iranian women. </w:t>
      </w:r>
      <w:r>
        <w:rPr>
          <w:rFonts w:ascii="Times New Roman" w:hAnsi="Times New Roman" w:eastAsia="Times New Roman"/>
          <w:i/>
          <w:color w:val="000000"/>
          <w:sz w:val="24"/>
        </w:rPr>
        <w:t>BMC Women's Health</w:t>
      </w:r>
      <w:r>
        <w:rPr>
          <w:rFonts w:ascii="Times New Roman" w:hAnsi="Times New Roman" w:eastAsia="Times New Roman"/>
          <w:color w:val="000000"/>
          <w:sz w:val="24"/>
        </w:rPr>
        <w:t xml:space="preserve">, 22, 45. </w:t>
      </w:r>
      <w:hyperlink r:id="rId148">
        <w:r>
          <w:rPr>
            <w:color w:val="0000FF"/>
            <w:u w:val="single"/>
          </w:rPr>
          <w:t>source</w:t>
        </w:r>
      </w:hyperlink>
    </w:p>
    <w:p>
      <w:pPr>
        <w:spacing w:line="360" w:lineRule="auto" w:after="0"/>
        <w:jc w:val="both"/>
      </w:pPr>
      <w:r>
        <w:rPr>
          <w:rFonts w:ascii="Times New Roman" w:hAnsi="Times New Roman" w:eastAsia="Times New Roman"/>
          <w:color w:val="000000"/>
          <w:sz w:val="24"/>
        </w:rPr>
        <w:t xml:space="preserve">Raskin, J. B., &amp; O'Brien, J. D. (2022). Smooth muscle physiology: Mechanisms of contraction and relaxation. </w:t>
      </w:r>
      <w:r>
        <w:rPr>
          <w:rFonts w:ascii="Times New Roman" w:hAnsi="Times New Roman" w:eastAsia="Times New Roman"/>
          <w:i/>
          <w:color w:val="000000"/>
          <w:sz w:val="24"/>
        </w:rPr>
        <w:t>Comprehensive Physiology</w:t>
      </w:r>
      <w:r>
        <w:rPr>
          <w:rFonts w:ascii="Times New Roman" w:hAnsi="Times New Roman" w:eastAsia="Times New Roman"/>
          <w:color w:val="000000"/>
          <w:sz w:val="24"/>
        </w:rPr>
        <w:t xml:space="preserve">, 12(2), 3457–3498. </w:t>
      </w:r>
      <w:hyperlink r:id="rId149">
        <w:r>
          <w:rPr>
            <w:color w:val="0000FF"/>
            <w:u w:val="single"/>
          </w:rPr>
          <w:t>source</w:t>
        </w:r>
      </w:hyperlink>
    </w:p>
    <w:p>
      <w:pPr>
        <w:spacing w:line="360" w:lineRule="auto" w:after="0"/>
        <w:jc w:val="both"/>
      </w:pPr>
      <w:r>
        <w:rPr>
          <w:rFonts w:ascii="Times New Roman" w:hAnsi="Times New Roman" w:eastAsia="Times New Roman"/>
          <w:color w:val="000000"/>
          <w:sz w:val="24"/>
        </w:rPr>
        <w:t xml:space="preserve">Reddy, N. M., &amp; Reddy, P. H. (2021). Eugenol: A potent inhibitor of arachidonic acid metabolism.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xml:space="preserve">, 169, 102294. </w:t>
      </w:r>
      <w:hyperlink r:id="rId150">
        <w:r>
          <w:rPr>
            <w:color w:val="0000FF"/>
            <w:u w:val="single"/>
          </w:rPr>
          <w:t>source</w:t>
        </w:r>
      </w:hyperlink>
    </w:p>
    <w:p>
      <w:pPr>
        <w:spacing w:line="360" w:lineRule="auto" w:after="0"/>
        <w:jc w:val="both"/>
      </w:pPr>
      <w:r>
        <w:rPr>
          <w:rFonts w:ascii="Times New Roman" w:hAnsi="Times New Roman" w:eastAsia="Times New Roman"/>
          <w:color w:val="000000"/>
          <w:sz w:val="24"/>
        </w:rPr>
        <w:t xml:space="preserve">Rodrigues, T. G., Fernandes, A., Sousa, J. P. B., Bastos, J. K., &amp; Sforcin, J. M. (2009). In vitro and in vivo effects of clove on pro-inflammatory cytokines production by macrophages. </w:t>
      </w:r>
      <w:r>
        <w:rPr>
          <w:rFonts w:ascii="Times New Roman" w:hAnsi="Times New Roman" w:eastAsia="Times New Roman"/>
          <w:i/>
          <w:color w:val="000000"/>
          <w:sz w:val="24"/>
        </w:rPr>
        <w:t>Natural Product Research</w:t>
      </w:r>
      <w:r>
        <w:rPr>
          <w:rFonts w:ascii="Times New Roman" w:hAnsi="Times New Roman" w:eastAsia="Times New Roman"/>
          <w:color w:val="000000"/>
          <w:sz w:val="24"/>
        </w:rPr>
        <w:t xml:space="preserve">, 23(4), 319–326. </w:t>
      </w:r>
      <w:hyperlink r:id="rId151">
        <w:r>
          <w:rPr>
            <w:color w:val="0000FF"/>
            <w:u w:val="single"/>
          </w:rPr>
          <w:t>source</w:t>
        </w:r>
      </w:hyperlink>
    </w:p>
    <w:p>
      <w:pPr>
        <w:spacing w:line="360" w:lineRule="auto" w:after="0"/>
        <w:jc w:val="both"/>
      </w:pPr>
      <w:r>
        <w:rPr>
          <w:rFonts w:ascii="Times New Roman" w:hAnsi="Times New Roman" w:eastAsia="Times New Roman"/>
          <w:color w:val="000000"/>
          <w:sz w:val="24"/>
        </w:rPr>
        <w:t xml:space="preserve">Rouzer, C. A., &amp; Marnett, L. J. (2009). Cyclooxygenases: Structural and functional insights. </w:t>
      </w:r>
      <w:r>
        <w:rPr>
          <w:rFonts w:ascii="Times New Roman" w:hAnsi="Times New Roman" w:eastAsia="Times New Roman"/>
          <w:i/>
          <w:color w:val="000000"/>
          <w:sz w:val="24"/>
        </w:rPr>
        <w:t>Journal of Lipid Research</w:t>
      </w:r>
      <w:r>
        <w:rPr>
          <w:rFonts w:ascii="Times New Roman" w:hAnsi="Times New Roman" w:eastAsia="Times New Roman"/>
          <w:color w:val="000000"/>
          <w:sz w:val="24"/>
        </w:rPr>
        <w:t xml:space="preserve">, 50(Suppl), S29–S34. </w:t>
      </w:r>
      <w:hyperlink r:id="rId152">
        <w:r>
          <w:rPr>
            <w:color w:val="0000FF"/>
            <w:u w:val="single"/>
          </w:rPr>
          <w:t>source</w:t>
        </w:r>
      </w:hyperlink>
    </w:p>
    <w:p>
      <w:pPr>
        <w:spacing w:line="360" w:lineRule="auto" w:after="0"/>
        <w:jc w:val="both"/>
      </w:pPr>
      <w:r>
        <w:rPr>
          <w:rFonts w:ascii="Times New Roman" w:hAnsi="Times New Roman" w:eastAsia="Times New Roman"/>
          <w:color w:val="000000"/>
          <w:sz w:val="24"/>
        </w:rPr>
        <w:t xml:space="preserve">Ryu, B., Kim, H. M., Lee, J. S., et al. (2016). New flavonol glucuronides from the flower buds of Syzygium aromaticum (clove).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xml:space="preserve">, 64(15), 3048–3053. </w:t>
      </w:r>
      <w:hyperlink r:id="rId153">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Salehi, B., &amp; Sharifi-Rad, J. (2021). Syzygium aromaticum (clove) essential oil: Chemical composition and biological activities. </w:t>
      </w:r>
      <w:r>
        <w:rPr>
          <w:rFonts w:ascii="Times New Roman" w:hAnsi="Times New Roman" w:eastAsia="Times New Roman"/>
          <w:i/>
          <w:color w:val="000000"/>
          <w:sz w:val="24"/>
        </w:rPr>
        <w:t>Applied Sciences</w:t>
      </w:r>
      <w:r>
        <w:rPr>
          <w:rFonts w:ascii="Times New Roman" w:hAnsi="Times New Roman" w:eastAsia="Times New Roman"/>
          <w:color w:val="000000"/>
          <w:sz w:val="24"/>
        </w:rPr>
        <w:t xml:space="preserve">, 11(12), 5432. </w:t>
      </w:r>
      <w:hyperlink r:id="rId154">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Sangkomkamhang, U. S., &amp; Lumbiganon, P. (2021). Nonsteroidal anti-inflammatory drugs for dysmenorrhea.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xml:space="preserve">, (5), CD001751. </w:t>
      </w:r>
      <w:hyperlink r:id="rId155">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Santin, J. R., Lemos, M., Klein-Júnior, L. C., Niero, R., &amp; de Andrade, S. F. (2011). Gastroprotective activity of essential oil of the Syzygium aromaticum and its major component eugenol in different animal models. </w:t>
      </w:r>
      <w:r>
        <w:rPr>
          <w:rFonts w:ascii="Times New Roman" w:hAnsi="Times New Roman" w:eastAsia="Times New Roman"/>
          <w:i/>
          <w:color w:val="000000"/>
          <w:sz w:val="24"/>
        </w:rPr>
        <w:t>Naunyn-Schmiedeberg's Archives of Pharmacology</w:t>
      </w:r>
      <w:r>
        <w:rPr>
          <w:rFonts w:ascii="Times New Roman" w:hAnsi="Times New Roman" w:eastAsia="Times New Roman"/>
          <w:color w:val="000000"/>
          <w:sz w:val="24"/>
        </w:rPr>
        <w:t xml:space="preserve">, 383(2), 149–158. </w:t>
      </w:r>
      <w:hyperlink r:id="rId156">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Sargin, S. A. (2021). Comparison of herbal medicines used for women's menstruation diseases in different areas of the world.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xml:space="preserve">, 12, 751207. </w:t>
      </w:r>
      <w:hyperlink r:id="rId157">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Sari, I. P., &amp; Sutrisno, S. (2022). Estradiol benzoate and oxytocin-induced primary dysmenorrhea model in mice: A review. </w:t>
      </w:r>
      <w:r>
        <w:rPr>
          <w:rFonts w:ascii="Times New Roman" w:hAnsi="Times New Roman" w:eastAsia="Times New Roman"/>
          <w:i/>
          <w:color w:val="000000"/>
          <w:sz w:val="24"/>
        </w:rPr>
        <w:t>Veterinary World</w:t>
      </w:r>
      <w:r>
        <w:rPr>
          <w:rFonts w:ascii="Times New Roman" w:hAnsi="Times New Roman" w:eastAsia="Times New Roman"/>
          <w:color w:val="000000"/>
          <w:sz w:val="24"/>
        </w:rPr>
        <w:t xml:space="preserve">, 15(3), 684–692. </w:t>
      </w:r>
      <w:hyperlink r:id="rId158">
        <w:r>
          <w:rPr>
            <w:color w:val="0000FF"/>
            <w:u w:val="single"/>
          </w:rPr>
          <w:t>source</w:t>
        </w:r>
      </w:hyperlink>
    </w:p>
    <w:p>
      <w:pPr>
        <w:spacing w:line="360" w:lineRule="auto" w:after="0"/>
        <w:jc w:val="both"/>
      </w:pPr>
      <w:r>
        <w:rPr>
          <w:rFonts w:ascii="Times New Roman" w:hAnsi="Times New Roman" w:eastAsia="Times New Roman"/>
          <w:color w:val="000000"/>
          <w:sz w:val="24"/>
        </w:rPr>
        <w:t xml:space="preserve">Sarkar, R., &amp; Das, S. (2023). Eugenol: Mechanisms of anti-inflammatory and analgesic actions. </w:t>
      </w:r>
      <w:r>
        <w:rPr>
          <w:rFonts w:ascii="Times New Roman" w:hAnsi="Times New Roman" w:eastAsia="Times New Roman"/>
          <w:i/>
          <w:color w:val="000000"/>
          <w:sz w:val="24"/>
        </w:rPr>
        <w:t>Life Sciences</w:t>
      </w:r>
      <w:r>
        <w:rPr>
          <w:rFonts w:ascii="Times New Roman" w:hAnsi="Times New Roman" w:eastAsia="Times New Roman"/>
          <w:color w:val="000000"/>
          <w:sz w:val="24"/>
        </w:rPr>
        <w:t xml:space="preserve">, 316, 121361. </w:t>
      </w:r>
      <w:hyperlink r:id="rId159">
        <w:r>
          <w:rPr>
            <w:color w:val="0000FF"/>
            <w:u w:val="single"/>
          </w:rPr>
          <w:t>source</w:t>
        </w:r>
      </w:hyperlink>
    </w:p>
    <w:p>
      <w:pPr>
        <w:spacing w:line="360" w:lineRule="auto" w:after="0"/>
        <w:jc w:val="both"/>
      </w:pPr>
      <w:r>
        <w:rPr>
          <w:rFonts w:ascii="Times New Roman" w:hAnsi="Times New Roman" w:eastAsia="Times New Roman"/>
          <w:color w:val="000000"/>
          <w:sz w:val="24"/>
        </w:rPr>
        <w:t xml:space="preserve">Selles, S. M. A., Kouidri, M., &amp; Belhamiti, B. T. (2020). Chemical composition, in-vitro antibacterial and antioxidant activities of Syzygium aromaticum essential oil. </w:t>
      </w:r>
      <w:r>
        <w:rPr>
          <w:rFonts w:ascii="Times New Roman" w:hAnsi="Times New Roman" w:eastAsia="Times New Roman"/>
          <w:i/>
          <w:color w:val="000000"/>
          <w:sz w:val="24"/>
        </w:rPr>
        <w:t>Journal of Food Measurement and Characterization</w:t>
      </w:r>
      <w:r>
        <w:rPr>
          <w:rFonts w:ascii="Times New Roman" w:hAnsi="Times New Roman" w:eastAsia="Times New Roman"/>
          <w:color w:val="000000"/>
          <w:sz w:val="24"/>
        </w:rPr>
        <w:t xml:space="preserve">, 14, 2352–2360. </w:t>
      </w:r>
      <w:hyperlink r:id="rId160">
        <w:r>
          <w:rPr>
            <w:color w:val="0000FF"/>
            <w:u w:val="single"/>
          </w:rPr>
          <w:t>source</w:t>
        </w:r>
      </w:hyperlink>
    </w:p>
    <w:p>
      <w:pPr>
        <w:spacing w:line="360" w:lineRule="auto" w:after="0"/>
        <w:jc w:val="both"/>
      </w:pPr>
      <w:r>
        <w:rPr>
          <w:rFonts w:ascii="Times New Roman" w:hAnsi="Times New Roman" w:eastAsia="Times New Roman"/>
          <w:color w:val="000000"/>
          <w:sz w:val="24"/>
        </w:rPr>
        <w:t xml:space="preserve">Seo, H., Li, H. Y., Perez-Reyes, E., &amp; Lee, J. H. (2013). Effects of eugenol on T-type Ca2+ channel isoforms. </w:t>
      </w:r>
      <w:r>
        <w:rPr>
          <w:rFonts w:ascii="Times New Roman" w:hAnsi="Times New Roman" w:eastAsia="Times New Roman"/>
          <w:i/>
          <w:color w:val="000000"/>
          <w:sz w:val="24"/>
        </w:rPr>
        <w:t>Journal of Pharmacology and Experimental Therapeutics</w:t>
      </w:r>
      <w:r>
        <w:rPr>
          <w:rFonts w:ascii="Times New Roman" w:hAnsi="Times New Roman" w:eastAsia="Times New Roman"/>
          <w:color w:val="000000"/>
          <w:sz w:val="24"/>
        </w:rPr>
        <w:t xml:space="preserve">, 347(2), 310–317. </w:t>
      </w:r>
      <w:hyperlink r:id="rId161">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Shan, B., Cai, Y. Z., Sun, M., &amp; Corke, H. (2005). Antioxidant capacity of 26 spice extracts and characterization of their phenolic constituents.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xml:space="preserve">, 53(20), 7749–7759. </w:t>
      </w:r>
      <w:hyperlink r:id="rId162">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Sharma, R., &amp; Sharma, S. (2022). Clove: A spice of medicinal importance. </w:t>
      </w:r>
      <w:r>
        <w:rPr>
          <w:rFonts w:ascii="Times New Roman" w:hAnsi="Times New Roman" w:eastAsia="Times New Roman"/>
          <w:i/>
          <w:color w:val="000000"/>
          <w:sz w:val="24"/>
        </w:rPr>
        <w:t>Journal of Food Science and Technology</w:t>
      </w:r>
      <w:r>
        <w:rPr>
          <w:rFonts w:ascii="Times New Roman" w:hAnsi="Times New Roman" w:eastAsia="Times New Roman"/>
          <w:color w:val="000000"/>
          <w:sz w:val="24"/>
        </w:rPr>
        <w:t xml:space="preserve">, 59(3), 847–859. </w:t>
      </w:r>
      <w:hyperlink r:id="rId163">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Shen, T., &amp; Li, W. (2021). Effects of eugenol on uterine smooth muscle: Implications for dysmenorrhea treatment.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xml:space="preserve">, 275, 114152. </w:t>
      </w:r>
      <w:hyperlink r:id="rId164">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Shi, Q., &amp; Jia, G. (2022). Oxytocin-induced uterine contraction model for dysmenorrhea research.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xml:space="preserve">, 115, 107166. </w:t>
      </w:r>
      <w:hyperlink r:id="rId165">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Shin, J. A., &amp; Lee, J. W. (2021). Calcium channel blocking effects of eugenol in smooth muscle cells. </w:t>
      </w:r>
      <w:r>
        <w:rPr>
          <w:rFonts w:ascii="Times New Roman" w:hAnsi="Times New Roman" w:eastAsia="Times New Roman"/>
          <w:i/>
          <w:color w:val="000000"/>
          <w:sz w:val="24"/>
        </w:rPr>
        <w:t>Journal of Pharmacology and Experimental Therapeutics</w:t>
      </w:r>
      <w:r>
        <w:rPr>
          <w:rFonts w:ascii="Times New Roman" w:hAnsi="Times New Roman" w:eastAsia="Times New Roman"/>
          <w:color w:val="000000"/>
          <w:sz w:val="24"/>
        </w:rPr>
        <w:t xml:space="preserve">, 378(2), 114–122. </w:t>
      </w:r>
      <w:hyperlink r:id="rId166">
        <w:r>
          <w:rPr>
            <w:color w:val="0000FF"/>
            <w:u w:val="single"/>
          </w:rPr>
          <w:t>source</w:t>
        </w:r>
      </w:hyperlink>
    </w:p>
    <w:p>
      <w:pPr>
        <w:spacing w:line="360" w:lineRule="auto" w:after="0"/>
        <w:jc w:val="both"/>
      </w:pPr>
      <w:r>
        <w:rPr>
          <w:rFonts w:ascii="Times New Roman" w:hAnsi="Times New Roman" w:eastAsia="Times New Roman"/>
          <w:color w:val="000000"/>
          <w:sz w:val="24"/>
        </w:rPr>
        <w:t xml:space="preserve">Shojaii, A., &amp; Motaghinejad, M. (2022). A systematic review on the analgesic effects of eugenol.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xml:space="preserve">, 36(3), 1120–1134. </w:t>
      </w:r>
      <w:hyperlink r:id="rId167">
        <w:r>
          <w:rPr>
            <w:color w:val="0000FF"/>
            <w:u w:val="single"/>
          </w:rPr>
          <w:t>source</w:t>
        </w:r>
      </w:hyperlink>
    </w:p>
    <w:p>
      <w:pPr>
        <w:spacing w:line="360" w:lineRule="auto" w:after="0"/>
        <w:jc w:val="both"/>
      </w:pPr>
      <w:r>
        <w:rPr>
          <w:rFonts w:ascii="Times New Roman" w:hAnsi="Times New Roman" w:eastAsia="Times New Roman"/>
          <w:color w:val="000000"/>
          <w:sz w:val="24"/>
        </w:rPr>
        <w:t xml:space="preserve">Singh, R., &amp; Singh, A. (2021). Toxicity studies of medicinal plants: A comprehensive review of OECD guidelines. </w:t>
      </w:r>
      <w:r>
        <w:rPr>
          <w:rFonts w:ascii="Times New Roman" w:hAnsi="Times New Roman" w:eastAsia="Times New Roman"/>
          <w:i/>
          <w:color w:val="000000"/>
          <w:sz w:val="24"/>
        </w:rPr>
        <w:t>Toxicology Research</w:t>
      </w:r>
      <w:r>
        <w:rPr>
          <w:rFonts w:ascii="Times New Roman" w:hAnsi="Times New Roman" w:eastAsia="Times New Roman"/>
          <w:color w:val="000000"/>
          <w:sz w:val="24"/>
        </w:rPr>
        <w:t xml:space="preserve">, 10(3), 456–470. </w:t>
      </w:r>
      <w:hyperlink r:id="rId168">
        <w:r>
          <w:rPr>
            <w:color w:val="0000FF"/>
            <w:u w:val="single"/>
          </w:rPr>
          <w:t>source</w:t>
        </w:r>
      </w:hyperlink>
    </w:p>
    <w:p>
      <w:pPr>
        <w:spacing w:line="360" w:lineRule="auto" w:after="0"/>
        <w:jc w:val="both"/>
      </w:pPr>
      <w:r>
        <w:rPr>
          <w:rFonts w:ascii="Times New Roman" w:hAnsi="Times New Roman" w:eastAsia="Times New Roman"/>
          <w:color w:val="000000"/>
          <w:sz w:val="24"/>
        </w:rPr>
        <w:t xml:space="preserve">Siqueira, A. P., da Silva, H. B., &amp; Gonçalves, R. C. (2022). Characterization of the vasodilator effect of eugenol in isolated human umbilical cord arteries.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xml:space="preserve">, 920, 174840. </w:t>
      </w:r>
      <w:hyperlink r:id="rId169">
        <w:r>
          <w:rPr>
            <w:color w:val="0000FF"/>
            <w:u w:val="single"/>
          </w:rPr>
          <w:t>source</w:t>
        </w:r>
      </w:hyperlink>
    </w:p>
    <w:p>
      <w:pPr>
        <w:spacing w:line="360" w:lineRule="auto" w:after="0"/>
        <w:jc w:val="both"/>
      </w:pPr>
      <w:r>
        <w:rPr>
          <w:rFonts w:ascii="Times New Roman" w:hAnsi="Times New Roman" w:eastAsia="Times New Roman"/>
          <w:color w:val="000000"/>
          <w:sz w:val="24"/>
        </w:rPr>
        <w:t xml:space="preserve">Smith, R. P., Kaunitz, A. M., &amp; Barbieri, R. L. (2024). Dysmenorrhea, a Narrative Review of Therapeutic Options. </w:t>
      </w:r>
      <w:r>
        <w:rPr>
          <w:rFonts w:ascii="Times New Roman" w:hAnsi="Times New Roman" w:eastAsia="Times New Roman"/>
          <w:i/>
          <w:color w:val="000000"/>
          <w:sz w:val="24"/>
        </w:rPr>
        <w:t>Cureus</w:t>
      </w:r>
      <w:r>
        <w:rPr>
          <w:rFonts w:ascii="Times New Roman" w:hAnsi="Times New Roman" w:eastAsia="Times New Roman"/>
          <w:color w:val="000000"/>
          <w:sz w:val="24"/>
        </w:rPr>
        <w:t xml:space="preserve">, 16(8). </w:t>
      </w:r>
      <w:hyperlink r:id="rId170">
        <w:r>
          <w:rPr>
            <w:color w:val="0000FF"/>
            <w:u w:val="single"/>
          </w:rPr>
          <w:t>source</w:t>
        </w:r>
      </w:hyperlink>
    </w:p>
    <w:p>
      <w:pPr>
        <w:spacing w:line="360" w:lineRule="auto" w:after="0"/>
        <w:jc w:val="both"/>
      </w:pPr>
      <w:r>
        <w:rPr>
          <w:rFonts w:ascii="Times New Roman" w:hAnsi="Times New Roman" w:eastAsia="Times New Roman"/>
          <w:color w:val="000000"/>
          <w:sz w:val="24"/>
        </w:rPr>
        <w:t xml:space="preserve">Smith, W. L., DeWitt, D. L., &amp; Garavito, R. M. (2000). Cyclooxygenases: Structural, cellular, and molecular biology. </w:t>
      </w:r>
      <w:r>
        <w:rPr>
          <w:rFonts w:ascii="Times New Roman" w:hAnsi="Times New Roman" w:eastAsia="Times New Roman"/>
          <w:i/>
          <w:color w:val="000000"/>
          <w:sz w:val="24"/>
        </w:rPr>
        <w:t>Annual Review of Biochemistry</w:t>
      </w:r>
      <w:r>
        <w:rPr>
          <w:rFonts w:ascii="Times New Roman" w:hAnsi="Times New Roman" w:eastAsia="Times New Roman"/>
          <w:color w:val="000000"/>
          <w:sz w:val="24"/>
        </w:rPr>
        <w:t xml:space="preserve">, 69, 145–182. </w:t>
      </w:r>
      <w:hyperlink r:id="rId171">
        <w:r>
          <w:rPr>
            <w:color w:val="0000FF"/>
            <w:u w:val="single"/>
          </w:rPr>
          <w:t>source</w:t>
        </w:r>
      </w:hyperlink>
    </w:p>
    <w:p>
      <w:pPr>
        <w:spacing w:line="360" w:lineRule="auto" w:after="0"/>
        <w:jc w:val="both"/>
      </w:pPr>
      <w:r>
        <w:rPr>
          <w:rFonts w:ascii="Times New Roman" w:hAnsi="Times New Roman" w:eastAsia="Times New Roman"/>
          <w:color w:val="000000"/>
          <w:sz w:val="24"/>
        </w:rPr>
        <w:t xml:space="preserve">Song, J. Y., Qi, Z. J., &amp; Wang, P. (2025). Endogenous mediators in regulating primary dysmenorrhea. </w:t>
      </w:r>
      <w:r>
        <w:rPr>
          <w:rFonts w:ascii="Times New Roman" w:hAnsi="Times New Roman" w:eastAsia="Times New Roman"/>
          <w:i/>
          <w:color w:val="000000"/>
          <w:sz w:val="24"/>
        </w:rPr>
        <w:t>Frontiers in Cell and Developmental Biology</w:t>
      </w:r>
      <w:r>
        <w:rPr>
          <w:rFonts w:ascii="Times New Roman" w:hAnsi="Times New Roman" w:eastAsia="Times New Roman"/>
          <w:color w:val="000000"/>
          <w:sz w:val="24"/>
        </w:rPr>
        <w:t xml:space="preserve">, 14, 1756355. </w:t>
      </w:r>
      <w:hyperlink r:id="rId172">
        <w:r>
          <w:rPr>
            <w:color w:val="0000FF"/>
            <w:u w:val="single"/>
          </w:rPr>
          <w:t>source</w:t>
        </w:r>
      </w:hyperlink>
    </w:p>
    <w:p>
      <w:pPr>
        <w:spacing w:line="360" w:lineRule="auto" w:after="0"/>
        <w:jc w:val="both"/>
      </w:pPr>
      <w:r>
        <w:rPr>
          <w:rFonts w:ascii="Times New Roman" w:hAnsi="Times New Roman" w:eastAsia="Times New Roman"/>
          <w:color w:val="000000"/>
          <w:sz w:val="24"/>
        </w:rPr>
        <w:t xml:space="preserve">Speroff, L., &amp; Fritz, M. A. (2020). </w:t>
      </w:r>
      <w:r>
        <w:rPr>
          <w:rFonts w:ascii="Times New Roman" w:hAnsi="Times New Roman" w:eastAsia="Times New Roman"/>
          <w:i/>
          <w:color w:val="000000"/>
          <w:sz w:val="24"/>
        </w:rPr>
        <w:t>Clinical Gynecologic Endocrinology and Infertility</w:t>
      </w:r>
      <w:r>
        <w:rPr>
          <w:rFonts w:ascii="Times New Roman" w:hAnsi="Times New Roman" w:eastAsia="Times New Roman"/>
          <w:color w:val="000000"/>
          <w:sz w:val="24"/>
        </w:rPr>
        <w:t xml:space="preserve"> (9th ed.). Lippincott Williams &amp; Wilkins. </w:t>
      </w:r>
      <w:hyperlink r:id="rId173">
        <w:r>
          <w:rPr>
            <w:color w:val="0000FF"/>
            <w:u w:val="single"/>
          </w:rPr>
          <w:t>source</w:t>
        </w:r>
      </w:hyperlink>
    </w:p>
    <w:p>
      <w:pPr>
        <w:spacing w:line="360" w:lineRule="auto" w:after="0"/>
        <w:jc w:val="both"/>
      </w:pPr>
      <w:r>
        <w:rPr>
          <w:rFonts w:ascii="Times New Roman" w:hAnsi="Times New Roman" w:eastAsia="Times New Roman"/>
          <w:color w:val="000000"/>
          <w:sz w:val="24"/>
        </w:rPr>
        <w:t xml:space="preserve">Srivastava, K. C., &amp; Malhotra, N. (1991). Acetyl eugenol, a component of oil of cloves (Syzygium aromaticum L.) inhibits aggregation and alters arachidonic acid metabolism in human blood platelets.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xml:space="preserve">, 42(1), 73–81. </w:t>
      </w:r>
      <w:hyperlink r:id="rId174">
        <w:r>
          <w:rPr>
            <w:color w:val="0000FF"/>
            <w:u w:val="single"/>
          </w:rPr>
          <w:t>source</w:t>
        </w:r>
      </w:hyperlink>
      <w:r>
        <w:rPr>
          <w:rFonts w:ascii="Times New Roman" w:hAnsi="Times New Roman" w:eastAsia="Times New Roman"/>
          <w:color w:val="000000"/>
          <w:sz w:val="24"/>
        </w:rPr>
        <w:t>90070-L)</w:t>
      </w:r>
    </w:p>
    <w:p>
      <w:pPr>
        <w:spacing w:line="360" w:lineRule="auto" w:after="0"/>
        <w:jc w:val="both"/>
      </w:pPr>
      <w:r>
        <w:rPr>
          <w:rFonts w:ascii="Times New Roman" w:hAnsi="Times New Roman" w:eastAsia="Times New Roman"/>
          <w:color w:val="000000"/>
          <w:sz w:val="24"/>
        </w:rPr>
        <w:t xml:space="preserve">Strömberg, P., Åkerlund, M., Forsling, M. L., &amp; Kindahl, H. (1984). Vasopressin and prostaglandins in premenstrual pain and primary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xml:space="preserve">, 63(6), 533–538. </w:t>
      </w:r>
      <w:hyperlink r:id="rId175">
        <w:r>
          <w:rPr>
            <w:color w:val="0000FF"/>
            <w:u w:val="single"/>
          </w:rPr>
          <w:t>source</w:t>
        </w:r>
      </w:hyperlink>
    </w:p>
    <w:p>
      <w:pPr>
        <w:spacing w:line="360" w:lineRule="auto" w:after="0"/>
        <w:jc w:val="both"/>
      </w:pPr>
      <w:r>
        <w:rPr>
          <w:rFonts w:ascii="Times New Roman" w:hAnsi="Times New Roman" w:eastAsia="Times New Roman"/>
          <w:color w:val="000000"/>
          <w:sz w:val="24"/>
        </w:rPr>
        <w:t xml:space="preserve">Su, Q., &amp; Chen, Y. (2022). Uterine blood flow alterations in primary dysmenorrhea: A Doppler ultrasound study. </w:t>
      </w:r>
      <w:r>
        <w:rPr>
          <w:rFonts w:ascii="Times New Roman" w:hAnsi="Times New Roman" w:eastAsia="Times New Roman"/>
          <w:i/>
          <w:color w:val="000000"/>
          <w:sz w:val="24"/>
        </w:rPr>
        <w:t>Journal of Ultrasound in Medicine</w:t>
      </w:r>
      <w:r>
        <w:rPr>
          <w:rFonts w:ascii="Times New Roman" w:hAnsi="Times New Roman" w:eastAsia="Times New Roman"/>
          <w:color w:val="000000"/>
          <w:sz w:val="24"/>
        </w:rPr>
        <w:t xml:space="preserve">, 41(5), 1123–1131. </w:t>
      </w:r>
      <w:hyperlink r:id="rId176">
        <w:r>
          <w:rPr>
            <w:color w:val="0000FF"/>
            <w:u w:val="single"/>
          </w:rPr>
          <w:t>source</w:t>
        </w:r>
      </w:hyperlink>
    </w:p>
    <w:p>
      <w:pPr>
        <w:spacing w:line="360" w:lineRule="auto" w:after="0"/>
        <w:jc w:val="both"/>
      </w:pPr>
      <w:r>
        <w:rPr>
          <w:rFonts w:ascii="Times New Roman" w:hAnsi="Times New Roman" w:eastAsia="Times New Roman"/>
          <w:color w:val="000000"/>
          <w:sz w:val="24"/>
        </w:rPr>
        <w:t xml:space="preserve">Szydłowska, I., Nawrocka-Rutkowska, J., Ptak, W., et al. (2020). Primary Dysmenorrhea in Relation to Oxidative Stress and Antioxidant Status: A Systematic Review of Case-Control Studies. </w:t>
      </w:r>
      <w:r>
        <w:rPr>
          <w:rFonts w:ascii="Times New Roman" w:hAnsi="Times New Roman" w:eastAsia="Times New Roman"/>
          <w:i/>
          <w:color w:val="000000"/>
          <w:sz w:val="24"/>
        </w:rPr>
        <w:t>Antioxidants (Basel, Switzerland)</w:t>
      </w:r>
      <w:r>
        <w:rPr>
          <w:rFonts w:ascii="Times New Roman" w:hAnsi="Times New Roman" w:eastAsia="Times New Roman"/>
          <w:color w:val="000000"/>
          <w:sz w:val="24"/>
        </w:rPr>
        <w:t xml:space="preserve">, 9(10), 994. </w:t>
      </w:r>
      <w:hyperlink r:id="rId177">
        <w:r>
          <w:rPr>
            <w:color w:val="0000FF"/>
            <w:u w:val="single"/>
          </w:rPr>
          <w:t>source</w:t>
        </w:r>
      </w:hyperlink>
    </w:p>
    <w:p>
      <w:pPr>
        <w:spacing w:line="360" w:lineRule="auto" w:after="0"/>
        <w:jc w:val="both"/>
      </w:pPr>
      <w:r>
        <w:rPr>
          <w:rFonts w:ascii="Times New Roman" w:hAnsi="Times New Roman" w:eastAsia="Times New Roman"/>
          <w:color w:val="000000"/>
          <w:sz w:val="24"/>
        </w:rPr>
        <w:t xml:space="preserve">Sánchez, M., &amp; García, M. (2022). Evaluation of acute oral toxicity: OECD guideline 423 in preclinical studies.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xml:space="preserve">, 116, 107192. </w:t>
      </w:r>
      <w:hyperlink r:id="rId178">
        <w:r>
          <w:rPr>
            <w:color w:val="0000FF"/>
            <w:u w:val="single"/>
          </w:rPr>
          <w:t>source</w:t>
        </w:r>
      </w:hyperlink>
    </w:p>
    <w:p>
      <w:pPr>
        <w:spacing w:line="360" w:lineRule="auto" w:after="0"/>
        <w:jc w:val="both"/>
      </w:pPr>
      <w:r>
        <w:rPr>
          <w:rFonts w:ascii="Times New Roman" w:hAnsi="Times New Roman" w:eastAsia="Times New Roman"/>
          <w:color w:val="000000"/>
          <w:sz w:val="24"/>
        </w:rPr>
        <w:t xml:space="preserve">Taher, Y. A., Samud, A. M., El-Taher, F. E., Ben-Hussin, G., Elmezogi, J. S., Al-Mehdawi, B. F., &amp; Salem, H. A. (2015). Experimental evaluation of anti-inflammatory, antinociceptive and antipyretic activities of clove oil in mice. </w:t>
      </w:r>
      <w:r>
        <w:rPr>
          <w:rFonts w:ascii="Times New Roman" w:hAnsi="Times New Roman" w:eastAsia="Times New Roman"/>
          <w:i/>
          <w:color w:val="000000"/>
          <w:sz w:val="24"/>
        </w:rPr>
        <w:t>Libyan Journal of Medicine</w:t>
      </w:r>
      <w:r>
        <w:rPr>
          <w:rFonts w:ascii="Times New Roman" w:hAnsi="Times New Roman" w:eastAsia="Times New Roman"/>
          <w:color w:val="000000"/>
          <w:sz w:val="24"/>
        </w:rPr>
        <w:t xml:space="preserve">, 10(1), 28685. </w:t>
      </w:r>
      <w:hyperlink r:id="rId179">
        <w:r>
          <w:rPr>
            <w:color w:val="0000FF"/>
            <w:u w:val="single"/>
          </w:rPr>
          <w:t>source</w:t>
        </w:r>
      </w:hyperlink>
    </w:p>
    <w:p>
      <w:pPr>
        <w:spacing w:line="360" w:lineRule="auto" w:after="0"/>
        <w:jc w:val="both"/>
      </w:pPr>
      <w:r>
        <w:rPr>
          <w:rFonts w:ascii="Times New Roman" w:hAnsi="Times New Roman" w:eastAsia="Times New Roman"/>
          <w:color w:val="000000"/>
          <w:sz w:val="24"/>
        </w:rPr>
        <w:t xml:space="preserve">Tajbakhsh, R., &amp; Jafari, S. (2022). Evaluation of pain in animal models of dysmenorrhea: A methodological review. </w:t>
      </w:r>
      <w:r>
        <w:rPr>
          <w:rFonts w:ascii="Times New Roman" w:hAnsi="Times New Roman" w:eastAsia="Times New Roman"/>
          <w:i/>
          <w:color w:val="000000"/>
          <w:sz w:val="24"/>
        </w:rPr>
        <w:t>Neuroscience and Biobehavioral Reviews</w:t>
      </w:r>
      <w:r>
        <w:rPr>
          <w:rFonts w:ascii="Times New Roman" w:hAnsi="Times New Roman" w:eastAsia="Times New Roman"/>
          <w:color w:val="000000"/>
          <w:sz w:val="24"/>
        </w:rPr>
        <w:t xml:space="preserve">, 138, 104705. </w:t>
      </w:r>
      <w:hyperlink r:id="rId180">
        <w:r>
          <w:rPr>
            <w:color w:val="0000FF"/>
            <w:u w:val="single"/>
          </w:rPr>
          <w:t>source</w:t>
        </w:r>
      </w:hyperlink>
    </w:p>
    <w:p>
      <w:pPr>
        <w:spacing w:line="360" w:lineRule="auto" w:after="0"/>
        <w:jc w:val="both"/>
      </w:pPr>
      <w:r>
        <w:rPr>
          <w:rFonts w:ascii="Times New Roman" w:hAnsi="Times New Roman" w:eastAsia="Times New Roman"/>
          <w:color w:val="000000"/>
          <w:sz w:val="24"/>
        </w:rPr>
        <w:t xml:space="preserve">Tajuddin, Ahmad, S., Latif, A., &amp; Qasmi, I. A. (2004). Effect of 50% ethanolic extract of Syzygium aromaticum (L.) Merr. &amp; Perry (clove) on sexual behaviour of normal male rats. </w:t>
      </w:r>
      <w:r>
        <w:rPr>
          <w:rFonts w:ascii="Times New Roman" w:hAnsi="Times New Roman" w:eastAsia="Times New Roman"/>
          <w:i/>
          <w:color w:val="000000"/>
          <w:sz w:val="24"/>
        </w:rPr>
        <w:t>BMC Complementary and Alternative Medicine</w:t>
      </w:r>
      <w:r>
        <w:rPr>
          <w:rFonts w:ascii="Times New Roman" w:hAnsi="Times New Roman" w:eastAsia="Times New Roman"/>
          <w:color w:val="000000"/>
          <w:sz w:val="24"/>
        </w:rPr>
        <w:t xml:space="preserve">, 4, 17. </w:t>
      </w:r>
      <w:hyperlink r:id="rId181">
        <w:r>
          <w:rPr>
            <w:color w:val="0000FF"/>
            <w:u w:val="single"/>
          </w:rPr>
          <w:t>source</w:t>
        </w:r>
      </w:hyperlink>
    </w:p>
    <w:p>
      <w:pPr>
        <w:spacing w:line="360" w:lineRule="auto" w:after="0"/>
        <w:jc w:val="both"/>
      </w:pPr>
      <w:r>
        <w:rPr>
          <w:rFonts w:ascii="Times New Roman" w:hAnsi="Times New Roman" w:eastAsia="Times New Roman"/>
          <w:color w:val="000000"/>
          <w:sz w:val="24"/>
        </w:rPr>
        <w:t xml:space="preserve">Tang, Y., &amp; Wang, L. (2023). Prostaglandin F2α in dysmenorrhea: Pathophysiology and therapeutic targeting. </w:t>
      </w:r>
      <w:r>
        <w:rPr>
          <w:rFonts w:ascii="Times New Roman" w:hAnsi="Times New Roman" w:eastAsia="Times New Roman"/>
          <w:i/>
          <w:color w:val="000000"/>
          <w:sz w:val="24"/>
        </w:rPr>
        <w:t>Prostaglandins &amp; Other Lipid Mediators</w:t>
      </w:r>
      <w:r>
        <w:rPr>
          <w:rFonts w:ascii="Times New Roman" w:hAnsi="Times New Roman" w:eastAsia="Times New Roman"/>
          <w:color w:val="000000"/>
          <w:sz w:val="24"/>
        </w:rPr>
        <w:t xml:space="preserve">, 164, 106675. </w:t>
      </w:r>
      <w:hyperlink r:id="rId182">
        <w:r>
          <w:rPr>
            <w:color w:val="0000FF"/>
            <w:u w:val="single"/>
          </w:rPr>
          <w:t>source</w:t>
        </w:r>
      </w:hyperlink>
    </w:p>
    <w:p>
      <w:pPr>
        <w:spacing w:line="360" w:lineRule="auto" w:after="0"/>
        <w:jc w:val="both"/>
      </w:pPr>
      <w:r>
        <w:rPr>
          <w:rFonts w:ascii="Times New Roman" w:hAnsi="Times New Roman" w:eastAsia="Times New Roman"/>
          <w:color w:val="000000"/>
          <w:sz w:val="24"/>
        </w:rPr>
        <w:t xml:space="preserve">Tsai, T. H., Huang, W. C., &amp; Chen, C. J. (2017). Clove extract and eugenol suppress inflammatory responses elicited by Propionibacterium acnes in vitro and in vivo. </w:t>
      </w:r>
      <w:r>
        <w:rPr>
          <w:rFonts w:ascii="Times New Roman" w:hAnsi="Times New Roman" w:eastAsia="Times New Roman"/>
          <w:i/>
          <w:color w:val="000000"/>
          <w:sz w:val="24"/>
        </w:rPr>
        <w:t>Food and Agricultural Immunology</w:t>
      </w:r>
      <w:r>
        <w:rPr>
          <w:rFonts w:ascii="Times New Roman" w:hAnsi="Times New Roman" w:eastAsia="Times New Roman"/>
          <w:color w:val="000000"/>
          <w:sz w:val="24"/>
        </w:rPr>
        <w:t xml:space="preserve">, 28(5), 874–886. </w:t>
      </w:r>
      <w:hyperlink r:id="rId183">
        <w:r>
          <w:rPr>
            <w:color w:val="0000FF"/>
            <w:u w:val="single"/>
          </w:rPr>
          <w:t>source</w:t>
        </w:r>
      </w:hyperlink>
    </w:p>
    <w:p>
      <w:pPr>
        <w:spacing w:line="360" w:lineRule="auto" w:after="0"/>
        <w:jc w:val="both"/>
      </w:pPr>
      <w:r>
        <w:rPr>
          <w:rFonts w:ascii="Times New Roman" w:hAnsi="Times New Roman" w:eastAsia="Times New Roman"/>
          <w:color w:val="000000"/>
          <w:sz w:val="24"/>
        </w:rPr>
        <w:t xml:space="preserve">Uysal, M., &amp; Ustun, O. (2022). Essential oil composition of Syzygium aromaticum from Turkey. </w:t>
      </w:r>
      <w:r>
        <w:rPr>
          <w:rFonts w:ascii="Times New Roman" w:hAnsi="Times New Roman" w:eastAsia="Times New Roman"/>
          <w:i/>
          <w:color w:val="000000"/>
          <w:sz w:val="24"/>
        </w:rPr>
        <w:t>Journal of Essential Oil Research</w:t>
      </w:r>
      <w:r>
        <w:rPr>
          <w:rFonts w:ascii="Times New Roman" w:hAnsi="Times New Roman" w:eastAsia="Times New Roman"/>
          <w:color w:val="000000"/>
          <w:sz w:val="24"/>
        </w:rPr>
        <w:t xml:space="preserve">, 34(2), 156–163. </w:t>
      </w:r>
      <w:hyperlink r:id="rId184">
        <w:r>
          <w:rPr>
            <w:color w:val="0000FF"/>
            <w:u w:val="single"/>
          </w:rPr>
          <w:t>source</w:t>
        </w:r>
      </w:hyperlink>
    </w:p>
    <w:p>
      <w:pPr>
        <w:spacing w:line="360" w:lineRule="auto" w:after="0"/>
        <w:jc w:val="both"/>
      </w:pPr>
      <w:r>
        <w:rPr>
          <w:rFonts w:ascii="Times New Roman" w:hAnsi="Times New Roman" w:eastAsia="Times New Roman"/>
          <w:color w:val="000000"/>
          <w:sz w:val="24"/>
        </w:rPr>
        <w:t xml:space="preserve">Vane, J. R., Bakhle, Y. S., &amp; Botting, R. M. (1998). Cyclooxygenases 1 and 2. </w:t>
      </w:r>
      <w:r>
        <w:rPr>
          <w:rFonts w:ascii="Times New Roman" w:hAnsi="Times New Roman" w:eastAsia="Times New Roman"/>
          <w:i/>
          <w:color w:val="000000"/>
          <w:sz w:val="24"/>
        </w:rPr>
        <w:t>Annual Review of Pharmacology and Toxicology</w:t>
      </w:r>
      <w:r>
        <w:rPr>
          <w:rFonts w:ascii="Times New Roman" w:hAnsi="Times New Roman" w:eastAsia="Times New Roman"/>
          <w:color w:val="000000"/>
          <w:sz w:val="24"/>
        </w:rPr>
        <w:t xml:space="preserve">, 38, 97–120. </w:t>
      </w:r>
      <w:hyperlink r:id="rId185">
        <w:r>
          <w:rPr>
            <w:color w:val="0000FF"/>
            <w:u w:val="single"/>
          </w:rPr>
          <w:t>source</w:t>
        </w:r>
      </w:hyperlink>
    </w:p>
    <w:p>
      <w:pPr>
        <w:spacing w:line="360" w:lineRule="auto" w:after="0"/>
        <w:jc w:val="both"/>
      </w:pPr>
      <w:r>
        <w:rPr>
          <w:rFonts w:ascii="Times New Roman" w:hAnsi="Times New Roman" w:eastAsia="Times New Roman"/>
          <w:color w:val="000000"/>
          <w:sz w:val="24"/>
        </w:rPr>
        <w:t xml:space="preserve">Vardhan, H., &amp; Shukla, R. (2022). Clove (Syzygium aromaticum) oil: GC-MS profiling and bioactivity evaluation.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xml:space="preserve">, 25(2), 289–301. </w:t>
      </w:r>
      <w:hyperlink r:id="rId186">
        <w:r>
          <w:rPr>
            <w:color w:val="0000FF"/>
            <w:u w:val="single"/>
          </w:rPr>
          <w:t>source</w:t>
        </w:r>
      </w:hyperlink>
    </w:p>
    <w:p>
      <w:pPr>
        <w:spacing w:line="360" w:lineRule="auto" w:after="0"/>
        <w:jc w:val="both"/>
      </w:pPr>
      <w:r>
        <w:rPr>
          <w:rFonts w:ascii="Times New Roman" w:hAnsi="Times New Roman" w:eastAsia="Times New Roman"/>
          <w:color w:val="000000"/>
          <w:sz w:val="24"/>
        </w:rPr>
        <w:t xml:space="preserve">Wan, Q., &amp; Yao, L. (2021). Cyclooxygenase-2 in dysmenorrhea: Expression and regulation. </w:t>
      </w:r>
      <w:r>
        <w:rPr>
          <w:rFonts w:ascii="Times New Roman" w:hAnsi="Times New Roman" w:eastAsia="Times New Roman"/>
          <w:i/>
          <w:color w:val="000000"/>
          <w:sz w:val="24"/>
        </w:rPr>
        <w:t>Journal of Endocrinology</w:t>
      </w:r>
      <w:r>
        <w:rPr>
          <w:rFonts w:ascii="Times New Roman" w:hAnsi="Times New Roman" w:eastAsia="Times New Roman"/>
          <w:color w:val="000000"/>
          <w:sz w:val="24"/>
        </w:rPr>
        <w:t xml:space="preserve">, 249(2), R15–R26. </w:t>
      </w:r>
      <w:hyperlink r:id="rId187">
        <w:r>
          <w:rPr>
            <w:color w:val="0000FF"/>
            <w:u w:val="single"/>
          </w:rPr>
          <w:t>source</w:t>
        </w:r>
      </w:hyperlink>
    </w:p>
    <w:p>
      <w:pPr>
        <w:spacing w:line="360" w:lineRule="auto" w:after="0"/>
        <w:jc w:val="both"/>
      </w:pPr>
      <w:r>
        <w:rPr>
          <w:rFonts w:ascii="Times New Roman" w:hAnsi="Times New Roman" w:eastAsia="Times New Roman"/>
          <w:color w:val="000000"/>
          <w:sz w:val="24"/>
        </w:rPr>
        <w:t xml:space="preserve">Wang, B., Wu, L., Chen, J., Dong, L., Chen, C., Wen, Z., Hu, J., Fleming, I., &amp; Wang, D. W. (2021). Metabolism pathways of arachidonic acids: Mechanisms and potential therapeutic targets. </w:t>
      </w:r>
      <w:r>
        <w:rPr>
          <w:rFonts w:ascii="Times New Roman" w:hAnsi="Times New Roman" w:eastAsia="Times New Roman"/>
          <w:i/>
          <w:color w:val="000000"/>
          <w:sz w:val="24"/>
        </w:rPr>
        <w:t>Signal Transduction and Targeted Therapy</w:t>
      </w:r>
      <w:r>
        <w:rPr>
          <w:rFonts w:ascii="Times New Roman" w:hAnsi="Times New Roman" w:eastAsia="Times New Roman"/>
          <w:color w:val="000000"/>
          <w:sz w:val="24"/>
        </w:rPr>
        <w:t xml:space="preserve">, 6, 94. </w:t>
      </w:r>
      <w:hyperlink r:id="rId188">
        <w:r>
          <w:rPr>
            <w:color w:val="0000FF"/>
            <w:u w:val="single"/>
          </w:rPr>
          <w:t>source</w:t>
        </w:r>
      </w:hyperlink>
    </w:p>
    <w:p>
      <w:pPr>
        <w:spacing w:line="360" w:lineRule="auto" w:after="0"/>
        <w:jc w:val="both"/>
      </w:pPr>
      <w:r>
        <w:rPr>
          <w:rFonts w:ascii="Times New Roman" w:hAnsi="Times New Roman" w:eastAsia="Times New Roman"/>
          <w:color w:val="000000"/>
          <w:sz w:val="24"/>
        </w:rPr>
        <w:t xml:space="preserve">Wong, C. L., Farquhar, C., Roberts, H., &amp; Proctor, M. (2009). Oral contraceptive pill for primary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xml:space="preserve">, (4), CD002120. </w:t>
      </w:r>
      <w:hyperlink r:id="rId189">
        <w:r>
          <w:rPr>
            <w:color w:val="0000FF"/>
            <w:u w:val="single"/>
          </w:rPr>
          <w:t>source</w:t>
        </w:r>
      </w:hyperlink>
    </w:p>
    <w:p>
      <w:pPr>
        <w:spacing w:line="360" w:lineRule="auto" w:after="0"/>
        <w:jc w:val="both"/>
      </w:pPr>
      <w:r>
        <w:rPr>
          <w:rFonts w:ascii="Times New Roman" w:hAnsi="Times New Roman" w:eastAsia="Times New Roman"/>
          <w:color w:val="000000"/>
          <w:sz w:val="24"/>
        </w:rPr>
        <w:t xml:space="preserve">Xu, H., &amp; Zhang, J. (2023). Evaluation of smooth muscle relaxants in isolated tissue baths: Methodology and applications.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xml:space="preserve">, 121, 107213. </w:t>
      </w:r>
      <w:hyperlink r:id="rId190">
        <w:r>
          <w:rPr>
            <w:color w:val="0000FF"/>
            <w:u w:val="single"/>
          </w:rPr>
          <w:t>source</w:t>
        </w:r>
      </w:hyperlink>
    </w:p>
    <w:p>
      <w:pPr>
        <w:spacing w:line="360" w:lineRule="auto" w:after="0"/>
        <w:jc w:val="both"/>
      </w:pPr>
      <w:r>
        <w:rPr>
          <w:rFonts w:ascii="Times New Roman" w:hAnsi="Times New Roman" w:eastAsia="Times New Roman"/>
          <w:color w:val="000000"/>
          <w:sz w:val="24"/>
        </w:rPr>
        <w:t xml:space="preserve">Xue, Q., Xiang, Z., Wang, S., et al. (2022). Recent advances in nutritional composition, phytochemistry, bioactive, and potential applications of Syzygium aromaticum L. (Myrtaceae). </w:t>
      </w:r>
      <w:r>
        <w:rPr>
          <w:rFonts w:ascii="Times New Roman" w:hAnsi="Times New Roman" w:eastAsia="Times New Roman"/>
          <w:i/>
          <w:color w:val="000000"/>
          <w:sz w:val="24"/>
        </w:rPr>
        <w:t>Frontiers in Nutrition</w:t>
      </w:r>
      <w:r>
        <w:rPr>
          <w:rFonts w:ascii="Times New Roman" w:hAnsi="Times New Roman" w:eastAsia="Times New Roman"/>
          <w:color w:val="000000"/>
          <w:sz w:val="24"/>
        </w:rPr>
        <w:t xml:space="preserve">, 9, 1002147. </w:t>
      </w:r>
      <w:hyperlink r:id="rId191">
        <w:r>
          <w:rPr>
            <w:color w:val="0000FF"/>
            <w:u w:val="single"/>
          </w:rPr>
          <w:t>source</w:t>
        </w:r>
      </w:hyperlink>
    </w:p>
    <w:p>
      <w:pPr>
        <w:spacing w:line="360" w:lineRule="auto" w:after="0"/>
        <w:jc w:val="both"/>
      </w:pPr>
      <w:r>
        <w:rPr>
          <w:rFonts w:ascii="Times New Roman" w:hAnsi="Times New Roman" w:eastAsia="Times New Roman"/>
          <w:color w:val="000000"/>
          <w:sz w:val="24"/>
        </w:rPr>
        <w:t xml:space="preserve">Yamaguchi, G., &amp; Takenaga, M. (2022). Eugenol: A natural compound with multiple pharmacological actions. </w:t>
      </w:r>
      <w:r>
        <w:rPr>
          <w:rFonts w:ascii="Times New Roman" w:hAnsi="Times New Roman" w:eastAsia="Times New Roman"/>
          <w:i/>
          <w:color w:val="000000"/>
          <w:sz w:val="24"/>
        </w:rPr>
        <w:t>Yakugaku Zasshi</w:t>
      </w:r>
      <w:r>
        <w:rPr>
          <w:rFonts w:ascii="Times New Roman" w:hAnsi="Times New Roman" w:eastAsia="Times New Roman"/>
          <w:color w:val="000000"/>
          <w:sz w:val="24"/>
        </w:rPr>
        <w:t xml:space="preserve">, 142(5), 501–512. </w:t>
      </w:r>
      <w:hyperlink r:id="rId192">
        <w:r>
          <w:rPr>
            <w:color w:val="0000FF"/>
            <w:u w:val="single"/>
          </w:rPr>
          <w:t>source</w:t>
        </w:r>
      </w:hyperlink>
    </w:p>
    <w:p>
      <w:pPr>
        <w:spacing w:line="360" w:lineRule="auto" w:after="0"/>
        <w:jc w:val="both"/>
      </w:pPr>
      <w:r>
        <w:rPr>
          <w:rFonts w:ascii="Times New Roman" w:hAnsi="Times New Roman" w:eastAsia="Times New Roman"/>
          <w:color w:val="000000"/>
          <w:sz w:val="24"/>
        </w:rPr>
        <w:t xml:space="preserve">Yang, L., Cao, Z., &amp; Wu, Y. (2015). An in vivo mouse model of primary dysmenorrhea. </w:t>
      </w:r>
      <w:r>
        <w:rPr>
          <w:rFonts w:ascii="Times New Roman" w:hAnsi="Times New Roman" w:eastAsia="Times New Roman"/>
          <w:i/>
          <w:color w:val="000000"/>
          <w:sz w:val="24"/>
        </w:rPr>
        <w:t>Experimental Animals</w:t>
      </w:r>
      <w:r>
        <w:rPr>
          <w:rFonts w:ascii="Times New Roman" w:hAnsi="Times New Roman" w:eastAsia="Times New Roman"/>
          <w:color w:val="000000"/>
          <w:sz w:val="24"/>
        </w:rPr>
        <w:t xml:space="preserve">, 64(3), 295–303. </w:t>
      </w:r>
      <w:hyperlink r:id="rId193">
        <w:r>
          <w:rPr>
            <w:color w:val="0000FF"/>
            <w:u w:val="single"/>
          </w:rPr>
          <w:t>source</w:t>
        </w:r>
      </w:hyperlink>
    </w:p>
    <w:p>
      <w:pPr>
        <w:spacing w:line="360" w:lineRule="auto" w:after="0"/>
        <w:jc w:val="both"/>
      </w:pPr>
      <w:r>
        <w:rPr>
          <w:rFonts w:ascii="Times New Roman" w:hAnsi="Times New Roman" w:eastAsia="Times New Roman"/>
          <w:color w:val="000000"/>
          <w:sz w:val="24"/>
        </w:rPr>
        <w:t xml:space="preserve">Yang, L., Chai, C. Z., Yue, X. Y., Yan, Y., Kou, J. P., Cao, Z. Y., &amp; Yu, B. Y. (2016). Ge-Gen Decoction attenuates oxytocin-induced uterine contraction and writhing response: Potential application in primary dysmenorrhea therapy. </w:t>
      </w:r>
      <w:r>
        <w:rPr>
          <w:rFonts w:ascii="Times New Roman" w:hAnsi="Times New Roman" w:eastAsia="Times New Roman"/>
          <w:i/>
          <w:color w:val="000000"/>
          <w:sz w:val="24"/>
        </w:rPr>
        <w:t>Chinese Journal of Natural Medicines</w:t>
      </w:r>
      <w:r>
        <w:rPr>
          <w:rFonts w:ascii="Times New Roman" w:hAnsi="Times New Roman" w:eastAsia="Times New Roman"/>
          <w:color w:val="000000"/>
          <w:sz w:val="24"/>
        </w:rPr>
        <w:t xml:space="preserve">, 14(2), 124–132. </w:t>
      </w:r>
      <w:hyperlink r:id="rId194">
        <w:r>
          <w:rPr>
            <w:color w:val="0000FF"/>
            <w:u w:val="single"/>
          </w:rPr>
          <w:t>source</w:t>
        </w:r>
      </w:hyperlink>
      <w:r>
        <w:rPr>
          <w:rFonts w:ascii="Times New Roman" w:hAnsi="Times New Roman" w:eastAsia="Times New Roman"/>
          <w:color w:val="000000"/>
          <w:sz w:val="24"/>
        </w:rPr>
        <w:t>60005-5)</w:t>
      </w:r>
    </w:p>
    <w:p>
      <w:pPr>
        <w:spacing w:line="360" w:lineRule="auto" w:after="0"/>
        <w:jc w:val="both"/>
      </w:pPr>
      <w:r>
        <w:rPr>
          <w:rFonts w:ascii="Times New Roman" w:hAnsi="Times New Roman" w:eastAsia="Times New Roman"/>
          <w:color w:val="000000"/>
          <w:sz w:val="24"/>
        </w:rPr>
        <w:t xml:space="preserve">Yavuz, E., &amp; Bayram, B. (2021). Chemical composition of Syzygium aromaticum essential oil and antioxidant capacity.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24(3), 478–487.</w:t>
      </w:r>
    </w:p>
    <w:p>
      <w:pPr>
        <w:spacing w:line="360" w:lineRule="auto" w:after="0"/>
        <w:jc w:val="both"/>
      </w:pPr>
      <w:r>
        <w:rPr>
          <w:rFonts w:ascii="Times New Roman" w:hAnsi="Times New Roman" w:eastAsia="Times New Roman"/>
          <w:color w:val="000000"/>
          <w:sz w:val="24"/>
        </w:rPr>
        <w:t xml:space="preserve">Yeh, H. Y., &amp; Chang, C. H. (2020). Eugenol attenuates inflammatory response in lipopolysaccharide-activated macrophages. </w:t>
      </w:r>
      <w:r>
        <w:rPr>
          <w:rFonts w:ascii="Times New Roman" w:hAnsi="Times New Roman" w:eastAsia="Times New Roman"/>
          <w:i/>
          <w:color w:val="000000"/>
          <w:sz w:val="24"/>
        </w:rPr>
        <w:t>Journal of Medicinal Food</w:t>
      </w:r>
      <w:r>
        <w:rPr>
          <w:rFonts w:ascii="Times New Roman" w:hAnsi="Times New Roman" w:eastAsia="Times New Roman"/>
          <w:color w:val="000000"/>
          <w:sz w:val="24"/>
        </w:rPr>
        <w:t xml:space="preserve">, 23(10), 1063–1070. </w:t>
      </w:r>
      <w:hyperlink r:id="rId195">
        <w:r>
          <w:rPr>
            <w:color w:val="0000FF"/>
            <w:u w:val="single"/>
          </w:rPr>
          <w:t>source</w:t>
        </w:r>
      </w:hyperlink>
    </w:p>
    <w:p>
      <w:pPr>
        <w:spacing w:line="360" w:lineRule="auto" w:after="0"/>
        <w:jc w:val="both"/>
      </w:pPr>
      <w:r>
        <w:rPr>
          <w:rFonts w:ascii="Times New Roman" w:hAnsi="Times New Roman" w:eastAsia="Times New Roman"/>
          <w:color w:val="000000"/>
          <w:sz w:val="24"/>
        </w:rPr>
        <w:t xml:space="preserve">Yeh, J. L., Hsu, J. H., Hong, Y. S., Wu, J. R., Liang, J. C., Wu, B. N., Chen, I. J., &amp; Liou, S. F. (2011). Eugenolol and glyceryl-isoeugenol suppress LPS-induced iNOS expression by down-regulating NF-κB and AP-1 through inhibition of MAPKs and Akt/IκBα signaling pathways in macrophages. </w:t>
      </w:r>
      <w:r>
        <w:rPr>
          <w:rFonts w:ascii="Times New Roman" w:hAnsi="Times New Roman" w:eastAsia="Times New Roman"/>
          <w:i/>
          <w:color w:val="000000"/>
          <w:sz w:val="24"/>
        </w:rPr>
        <w:t>International Journal of Immunopathology and Pharmacology</w:t>
      </w:r>
      <w:r>
        <w:rPr>
          <w:rFonts w:ascii="Times New Roman" w:hAnsi="Times New Roman" w:eastAsia="Times New Roman"/>
          <w:color w:val="000000"/>
          <w:sz w:val="24"/>
        </w:rPr>
        <w:t xml:space="preserve">, 24(2), 345–356. </w:t>
      </w:r>
      <w:hyperlink r:id="rId196">
        <w:r>
          <w:rPr>
            <w:color w:val="0000FF"/>
            <w:u w:val="single"/>
          </w:rPr>
          <w:t>source</w:t>
        </w:r>
      </w:hyperlink>
    </w:p>
    <w:p>
      <w:pPr>
        <w:spacing w:line="360" w:lineRule="auto" w:after="0"/>
        <w:jc w:val="both"/>
      </w:pPr>
      <w:r>
        <w:rPr>
          <w:rFonts w:ascii="Times New Roman" w:hAnsi="Times New Roman" w:eastAsia="Times New Roman"/>
          <w:color w:val="000000"/>
          <w:sz w:val="24"/>
        </w:rPr>
        <w:t xml:space="preserve">Ylikorkala, O., &amp; Dawood, M. Y. (1978). New concepts in dysmenorrhea.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xml:space="preserve">, 130(7), 833–847. </w:t>
      </w:r>
      <w:hyperlink r:id="rId197">
        <w:r>
          <w:rPr>
            <w:color w:val="0000FF"/>
            <w:u w:val="single"/>
          </w:rPr>
          <w:t>source</w:t>
        </w:r>
      </w:hyperlink>
      <w:r>
        <w:rPr>
          <w:rFonts w:ascii="Times New Roman" w:hAnsi="Times New Roman" w:eastAsia="Times New Roman"/>
          <w:color w:val="000000"/>
          <w:sz w:val="24"/>
        </w:rPr>
        <w:t>90019-4)</w:t>
      </w:r>
    </w:p>
    <w:p>
      <w:pPr>
        <w:spacing w:line="360" w:lineRule="auto" w:after="0"/>
        <w:jc w:val="both"/>
      </w:pPr>
      <w:r>
        <w:rPr>
          <w:rFonts w:ascii="Times New Roman" w:hAnsi="Times New Roman" w:eastAsia="Times New Roman"/>
          <w:color w:val="000000"/>
          <w:sz w:val="24"/>
        </w:rPr>
        <w:t xml:space="preserve">Yogalakshmi, B., Viswanathan, P., &amp; Anuradha, C. V. (2010). Investigation of antioxidant, anti-inflammatory and DNA-protective properties of eugenol in thioacetamide-induced liver injury in rats. </w:t>
      </w:r>
      <w:r>
        <w:rPr>
          <w:rFonts w:ascii="Times New Roman" w:hAnsi="Times New Roman" w:eastAsia="Times New Roman"/>
          <w:i/>
          <w:color w:val="000000"/>
          <w:sz w:val="24"/>
        </w:rPr>
        <w:t>Toxicology</w:t>
      </w:r>
      <w:r>
        <w:rPr>
          <w:rFonts w:ascii="Times New Roman" w:hAnsi="Times New Roman" w:eastAsia="Times New Roman"/>
          <w:color w:val="000000"/>
          <w:sz w:val="24"/>
        </w:rPr>
        <w:t xml:space="preserve">, 268(3), 204–212. </w:t>
      </w:r>
      <w:hyperlink r:id="rId198">
        <w:r>
          <w:rPr>
            <w:color w:val="0000FF"/>
            <w:u w:val="single"/>
          </w:rPr>
          <w:t>source</w:t>
        </w:r>
      </w:hyperlink>
    </w:p>
    <w:p>
      <w:pPr>
        <w:spacing w:line="360" w:lineRule="auto" w:after="0"/>
        <w:jc w:val="both"/>
      </w:pPr>
      <w:r>
        <w:rPr>
          <w:rFonts w:ascii="Times New Roman" w:hAnsi="Times New Roman" w:eastAsia="Times New Roman"/>
          <w:color w:val="000000"/>
          <w:sz w:val="24"/>
        </w:rPr>
        <w:t xml:space="preserve">Zhang, C., &amp; Liang, J. (2022). Eugenol modifies uterine contractility and pain signaling: Potential for primary dysmenorrhea. </w:t>
      </w:r>
      <w:r>
        <w:rPr>
          <w:rFonts w:ascii="Times New Roman" w:hAnsi="Times New Roman" w:eastAsia="Times New Roman"/>
          <w:i/>
          <w:color w:val="000000"/>
          <w:sz w:val="24"/>
        </w:rPr>
        <w:t>Phytomedicine</w:t>
      </w:r>
      <w:r>
        <w:rPr>
          <w:rFonts w:ascii="Times New Roman" w:hAnsi="Times New Roman" w:eastAsia="Times New Roman"/>
          <w:color w:val="000000"/>
          <w:sz w:val="24"/>
        </w:rPr>
        <w:t xml:space="preserve">, 102, 154178. </w:t>
      </w:r>
      <w:hyperlink r:id="rId199">
        <w:r>
          <w:rPr>
            <w:color w:val="0000FF"/>
            <w:u w:val="single"/>
          </w:rPr>
          <w:t>source</w:t>
        </w:r>
      </w:hyperlink>
    </w:p>
    <w:p>
      <w:pPr>
        <w:spacing w:line="360" w:lineRule="auto" w:after="0"/>
        <w:jc w:val="both"/>
      </w:pPr>
      <w:r>
        <w:rPr>
          <w:rFonts w:ascii="Times New Roman" w:hAnsi="Times New Roman" w:eastAsia="Times New Roman"/>
          <w:color w:val="000000"/>
          <w:sz w:val="24"/>
        </w:rPr>
        <w:t xml:space="preserve">Zhang, J., &amp; Wang, Y. (2021). TRPV1 and pain modulation: Role of eugenol in dysmenorrhea. </w:t>
      </w:r>
      <w:r>
        <w:rPr>
          <w:rFonts w:ascii="Times New Roman" w:hAnsi="Times New Roman" w:eastAsia="Times New Roman"/>
          <w:i/>
          <w:color w:val="000000"/>
          <w:sz w:val="24"/>
        </w:rPr>
        <w:t>Journal of Pain Research</w:t>
      </w:r>
      <w:r>
        <w:rPr>
          <w:rFonts w:ascii="Times New Roman" w:hAnsi="Times New Roman" w:eastAsia="Times New Roman"/>
          <w:color w:val="000000"/>
          <w:sz w:val="24"/>
        </w:rPr>
        <w:t xml:space="preserve">, 14, 2167–2176. </w:t>
      </w:r>
      <w:hyperlink r:id="rId200">
        <w:r>
          <w:rPr>
            <w:color w:val="0000FF"/>
            <w:u w:val="single"/>
          </w:rPr>
          <w:t>source</w:t>
        </w:r>
      </w:hyperlink>
    </w:p>
    <w:p>
      <w:pPr>
        <w:spacing w:line="360" w:lineRule="auto" w:after="0"/>
        <w:jc w:val="both"/>
      </w:pPr>
      <w:r>
        <w:rPr>
          <w:rFonts w:ascii="Times New Roman" w:hAnsi="Times New Roman" w:eastAsia="Times New Roman"/>
          <w:color w:val="000000"/>
          <w:sz w:val="24"/>
        </w:rPr>
        <w:t xml:space="preserve">Zheng, G. Q., Kenney, P. M., &amp; Lam, L. K. (1992). Sesquiterpenes from clove (Eugenia caryophyllata) as potential anticarcinogenic agents. </w:t>
      </w:r>
      <w:r>
        <w:rPr>
          <w:rFonts w:ascii="Times New Roman" w:hAnsi="Times New Roman" w:eastAsia="Times New Roman"/>
          <w:i/>
          <w:color w:val="000000"/>
          <w:sz w:val="24"/>
        </w:rPr>
        <w:t>Journal of Natural Products</w:t>
      </w:r>
      <w:r>
        <w:rPr>
          <w:rFonts w:ascii="Times New Roman" w:hAnsi="Times New Roman" w:eastAsia="Times New Roman"/>
          <w:color w:val="000000"/>
          <w:sz w:val="24"/>
        </w:rPr>
        <w:t xml:space="preserve">, 55(7), 999–1003. </w:t>
      </w:r>
      <w:hyperlink r:id="rId201">
        <w:r>
          <w:rPr>
            <w:color w:val="0000FF"/>
            <w:u w:val="single"/>
          </w:rPr>
          <w:t>source</w:t>
        </w:r>
      </w:hyperlink>
    </w:p>
    <w:p>
      <w:pPr>
        <w:spacing w:line="360" w:lineRule="auto" w:after="0"/>
        <w:jc w:val="both"/>
      </w:pPr>
      <w:r>
        <w:rPr>
          <w:rFonts w:ascii="Times New Roman" w:hAnsi="Times New Roman" w:eastAsia="Times New Roman"/>
          <w:color w:val="000000"/>
          <w:sz w:val="24"/>
        </w:rPr>
        <w:t xml:space="preserve">Zhong, F., &amp; Li, G. (2022). The role of vasopressin and oxytocin in primary dysmenorrhea. </w:t>
      </w:r>
      <w:r>
        <w:rPr>
          <w:rFonts w:ascii="Times New Roman" w:hAnsi="Times New Roman" w:eastAsia="Times New Roman"/>
          <w:i/>
          <w:color w:val="000000"/>
          <w:sz w:val="24"/>
        </w:rPr>
        <w:t>Frontiers in Endocrinology</w:t>
      </w:r>
      <w:r>
        <w:rPr>
          <w:rFonts w:ascii="Times New Roman" w:hAnsi="Times New Roman" w:eastAsia="Times New Roman"/>
          <w:color w:val="000000"/>
          <w:sz w:val="24"/>
        </w:rPr>
        <w:t xml:space="preserve">, 13, 887142. </w:t>
      </w:r>
      <w:hyperlink r:id="rId202">
        <w:r>
          <w:rPr>
            <w:color w:val="0000FF"/>
            <w:u w:val="single"/>
          </w:rPr>
          <w:t>source</w:t>
        </w:r>
      </w:hyperlink>
    </w:p>
    <w:p>
      <w:pPr>
        <w:spacing w:line="360" w:lineRule="auto" w:after="0"/>
        <w:jc w:val="both"/>
      </w:pPr>
      <w:r>
        <w:rPr>
          <w:rFonts w:ascii="Times New Roman" w:hAnsi="Times New Roman" w:eastAsia="Times New Roman"/>
          <w:color w:val="000000"/>
          <w:sz w:val="24"/>
        </w:rPr>
        <w:t xml:space="preserve">Zhong, Y., Wang, H., &amp; Wang, Y. (2025). Effects of ethnic medicinal plant extracts versus nonsteroidal anti-inflammatory drugs on menstrual pain in women with primary dysmenorrhea: A systematic review and meta-analysis. </w:t>
      </w:r>
      <w:r>
        <w:rPr>
          <w:rFonts w:ascii="Times New Roman" w:hAnsi="Times New Roman" w:eastAsia="Times New Roman"/>
          <w:i/>
          <w:color w:val="000000"/>
          <w:sz w:val="24"/>
        </w:rPr>
        <w:t>Pain Management Nursing</w:t>
      </w:r>
      <w:r>
        <w:rPr>
          <w:rFonts w:ascii="Times New Roman" w:hAnsi="Times New Roman" w:eastAsia="Times New Roman"/>
          <w:color w:val="000000"/>
          <w:sz w:val="24"/>
        </w:rPr>
        <w:t xml:space="preserve">, 26(2), e98–e108. </w:t>
      </w:r>
      <w:hyperlink r:id="rId203">
        <w:r>
          <w:rPr>
            <w:color w:val="0000FF"/>
            <w:u w:val="single"/>
          </w:rPr>
          <w:t>source</w:t>
        </w:r>
      </w:hyperlink>
    </w:p>
    <w:p>
      <w:pPr>
        <w:spacing w:line="360" w:lineRule="auto" w:after="0"/>
        <w:jc w:val="both"/>
      </w:pPr>
      <w:r>
        <w:rPr>
          <w:rFonts w:ascii="Times New Roman" w:hAnsi="Times New Roman" w:eastAsia="Times New Roman"/>
          <w:color w:val="000000"/>
          <w:sz w:val="24"/>
        </w:rPr>
        <w:t xml:space="preserve">da Silva, F. F., Monteiro, A. F., de Oliveira, L. A. S., &amp; Scotti, M. T. (2020). Computational analysis of eugenol inhibitory activity in lipoxygenase and cyclooxygenase pathways. </w:t>
      </w:r>
      <w:r>
        <w:rPr>
          <w:rFonts w:ascii="Times New Roman" w:hAnsi="Times New Roman" w:eastAsia="Times New Roman"/>
          <w:i/>
          <w:color w:val="000000"/>
          <w:sz w:val="24"/>
        </w:rPr>
        <w:t>Scientific Reports</w:t>
      </w:r>
      <w:r>
        <w:rPr>
          <w:rFonts w:ascii="Times New Roman" w:hAnsi="Times New Roman" w:eastAsia="Times New Roman"/>
          <w:color w:val="000000"/>
          <w:sz w:val="24"/>
        </w:rPr>
        <w:t xml:space="preserve">, 10, 16234. </w:t>
      </w:r>
      <w:hyperlink r:id="rId204">
        <w:r>
          <w:rPr>
            <w:color w:val="0000FF"/>
            <w:u w:val="single"/>
          </w:rPr>
          <w:t>source</w:t>
        </w:r>
      </w:hyperlink>
    </w:p>
    <w:p>
      <w:pPr>
        <w:spacing w:line="360" w:lineRule="auto" w:after="0"/>
        <w:jc w:val="both"/>
      </w:pPr>
      <w:r>
        <w:rPr>
          <w:rFonts w:ascii="Times New Roman" w:hAnsi="Times New Roman" w:eastAsia="Times New Roman"/>
          <w:color w:val="000000"/>
          <w:sz w:val="24"/>
        </w:rPr>
        <w:t xml:space="preserve">de Carvalho, F. V., Ribeiro, P. R., &amp; Furlan, M. R. (2020). Eugenol and its role in chronic diseases. </w:t>
      </w:r>
      <w:r>
        <w:rPr>
          <w:rFonts w:ascii="Times New Roman" w:hAnsi="Times New Roman" w:eastAsia="Times New Roman"/>
          <w:i/>
          <w:color w:val="000000"/>
          <w:sz w:val="24"/>
        </w:rPr>
        <w:t>Advances in Experimental Medicine and Biology</w:t>
      </w:r>
      <w:r>
        <w:rPr>
          <w:rFonts w:ascii="Times New Roman" w:hAnsi="Times New Roman" w:eastAsia="Times New Roman"/>
          <w:color w:val="000000"/>
          <w:sz w:val="24"/>
        </w:rPr>
        <w:t xml:space="preserve">, 1260, 127–142. </w:t>
      </w:r>
      <w:hyperlink r:id="rId205">
        <w:r>
          <w:rPr>
            <w:color w:val="0000FF"/>
            <w:u w:val="single"/>
          </w:rPr>
          <w:t>source</w:t>
        </w:r>
      </w:hyperlink>
    </w:p>
    <w:p>
      <w:pPr>
        <w:spacing w:line="360" w:lineRule="auto" w:after="0"/>
        <w:jc w:val="both"/>
      </w:pPr>
      <w:r>
        <w:rPr>
          <w:rFonts w:ascii="Times New Roman" w:hAnsi="Times New Roman" w:eastAsia="Times New Roman"/>
          <w:color w:val="000000"/>
          <w:sz w:val="24"/>
        </w:rPr>
        <w:t xml:space="preserve">de Cássia da Silveira e Sá, R., Andrade, L. N., &amp; de Sousa, D. P. (2019). A review on anti-inflammatory activity of monoterpenes. </w:t>
      </w:r>
      <w:r>
        <w:rPr>
          <w:rFonts w:ascii="Times New Roman" w:hAnsi="Times New Roman" w:eastAsia="Times New Roman"/>
          <w:i/>
          <w:color w:val="000000"/>
          <w:sz w:val="24"/>
        </w:rPr>
        <w:t>Molecules</w:t>
      </w:r>
      <w:r>
        <w:rPr>
          <w:rFonts w:ascii="Times New Roman" w:hAnsi="Times New Roman" w:eastAsia="Times New Roman"/>
          <w:color w:val="000000"/>
          <w:sz w:val="24"/>
        </w:rPr>
        <w:t xml:space="preserve">, 24(9), 1675. </w:t>
      </w:r>
      <w:hyperlink r:id="rId206">
        <w:r>
          <w:rPr>
            <w:color w:val="0000FF"/>
            <w:u w:val="single"/>
          </w:rPr>
          <w:t>source</w:t>
        </w:r>
      </w:hyperlink>
    </w:p>
    <w:p>
      <w:pPr>
        <w:spacing w:line="360" w:lineRule="auto" w:after="0"/>
        <w:jc w:val="both"/>
      </w:pPr>
      <w:r>
        <w:rPr>
          <w:rFonts w:ascii="Times New Roman" w:hAnsi="Times New Roman" w:eastAsia="Times New Roman"/>
          <w:color w:val="000000"/>
          <w:sz w:val="24"/>
        </w:rPr>
        <w:t xml:space="preserve">de Oliveira, J. D., Camargo, L. E. A., &amp; Bicas, J. L. (2018). An overview on the anti-inflammatory potential and antioxidant profile of eugenol. </w:t>
      </w:r>
      <w:r>
        <w:rPr>
          <w:rFonts w:ascii="Times New Roman" w:hAnsi="Times New Roman" w:eastAsia="Times New Roman"/>
          <w:i/>
          <w:color w:val="000000"/>
          <w:sz w:val="24"/>
        </w:rPr>
        <w:t>Oxidative Medicine and Cellular Longevity</w:t>
      </w:r>
      <w:r>
        <w:rPr>
          <w:rFonts w:ascii="Times New Roman" w:hAnsi="Times New Roman" w:eastAsia="Times New Roman"/>
          <w:color w:val="000000"/>
          <w:sz w:val="24"/>
        </w:rPr>
        <w:t xml:space="preserve">, 2018, 3957262. </w:t>
      </w:r>
      <w:hyperlink r:id="rId207">
        <w:r>
          <w:rPr>
            <w:color w:val="0000FF"/>
            <w:u w:val="single"/>
          </w:rPr>
          <w:t>source</w:t>
        </w:r>
      </w:hyperlink>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4314/ajtcam.v6i3.57162" TargetMode="External"/><Relationship Id="rId11" Type="http://schemas.openxmlformats.org/officeDocument/2006/relationships/hyperlink" Target="https://doi.org/10.3109/00016347909157790" TargetMode="External"/><Relationship Id="rId12" Type="http://schemas.openxmlformats.org/officeDocument/2006/relationships/hyperlink" Target="https://doi.org/10.1515/znc-2022-0120" TargetMode="External"/><Relationship Id="rId13" Type="http://schemas.openxmlformats.org/officeDocument/2006/relationships/hyperlink" Target="https://doi.org/10.15376/biores.2.2.265-269" TargetMode="External"/><Relationship Id="rId14" Type="http://schemas.openxmlformats.org/officeDocument/2006/relationships/hyperlink" Target="https://doi.org/10.1186/s12905-018-0532-1" TargetMode="External"/><Relationship Id="rId15" Type="http://schemas.openxmlformats.org/officeDocument/2006/relationships/hyperlink" Target="https://doi.org/10.1097/AOG.0000000000002978" TargetMode="External"/><Relationship Id="rId16" Type="http://schemas.openxmlformats.org/officeDocument/2006/relationships/hyperlink" Target="https://doi.org/10.36858/jkds.v6i2.120" TargetMode="External"/><Relationship Id="rId17" Type="http://schemas.openxmlformats.org/officeDocument/2006/relationships/hyperlink" Target="https://doi.org/10.1002/ptr.2650020305" TargetMode="External"/><Relationship Id="rId18" Type="http://schemas.openxmlformats.org/officeDocument/2006/relationships/hyperlink" Target="https://doi.org/10.1016/j.bjp.2018.03.010" TargetMode="External"/><Relationship Id="rId19" Type="http://schemas.openxmlformats.org/officeDocument/2006/relationships/hyperlink" Target="https://doi.org/10.1111/j.2042-7158.2011.01440.x" TargetMode="External"/><Relationship Id="rId20" Type="http://schemas.openxmlformats.org/officeDocument/2006/relationships/hyperlink" Target="https://doi.org/10.3390/jcm9051454" TargetMode="External"/><Relationship Id="rId21" Type="http://schemas.openxmlformats.org/officeDocument/2006/relationships/hyperlink" Target="https://doi.org/10.3390/biom10020202" TargetMode="External"/><Relationship Id="rId22" Type="http://schemas.openxmlformats.org/officeDocument/2006/relationships/hyperlink" Target="https://doi.org/10.25081/josac.2022.v31.i1.7508" TargetMode="External"/><Relationship Id="rId23" Type="http://schemas.openxmlformats.org/officeDocument/2006/relationships/hyperlink" Target="https://doi.org/10.1016/j.jogc.2016.12.023" TargetMode="External"/><Relationship Id="rId24" Type="http://schemas.openxmlformats.org/officeDocument/2006/relationships/hyperlink" Target="https://doi.org/10.1021/np960451q" TargetMode="External"/><Relationship Id="rId25" Type="http://schemas.openxmlformats.org/officeDocument/2006/relationships/hyperlink" Target="https://doi.org/10.1002/ptr.2124" TargetMode="External"/><Relationship Id="rId26" Type="http://schemas.openxmlformats.org/officeDocument/2006/relationships/hyperlink" Target="https://doi.org/10.1016/0002-9378(79" TargetMode="External"/><Relationship Id="rId27" Type="http://schemas.openxmlformats.org/officeDocument/2006/relationships/hyperlink" Target="https://doi.org/10.1016/S1537-1891(02" TargetMode="External"/><Relationship Id="rId28" Type="http://schemas.openxmlformats.org/officeDocument/2006/relationships/hyperlink" Target="https://doi.org/10.1590/S0102-695X2009000200006" TargetMode="External"/><Relationship Id="rId29" Type="http://schemas.openxmlformats.org/officeDocument/2006/relationships/hyperlink" Target="https://doi.org/10.1016/S0002-9343(84" TargetMode="External"/><Relationship Id="rId30" Type="http://schemas.openxmlformats.org/officeDocument/2006/relationships/hyperlink" Target="https://doi.org/10.1097/01.AOG.0000230214.26638.0c" TargetMode="External"/><Relationship Id="rId31" Type="http://schemas.openxmlformats.org/officeDocument/2006/relationships/hyperlink" Target="https://pubmed.ncbi.nlm.nih.gov/26841639/" TargetMode="External"/><Relationship Id="rId32" Type="http://schemas.openxmlformats.org/officeDocument/2006/relationships/hyperlink" Target="https://doi.org/10.3389/fphar.2021.793200" TargetMode="External"/><Relationship Id="rId33" Type="http://schemas.openxmlformats.org/officeDocument/2006/relationships/hyperlink" Target="https://doi.org/10.3923/rjmp.2015.264.274" TargetMode="External"/><Relationship Id="rId34" Type="http://schemas.openxmlformats.org/officeDocument/2006/relationships/hyperlink" Target="https://doi.org/10.1097/MD.0000000000026633" TargetMode="External"/><Relationship Id="rId35" Type="http://schemas.openxmlformats.org/officeDocument/2006/relationships/hyperlink" Target="https://doi.org/10.1046/j.1365-2672.2000.00969.x" TargetMode="External"/><Relationship Id="rId36" Type="http://schemas.openxmlformats.org/officeDocument/2006/relationships/hyperlink" Target="https://doi.org/10.3390/ph17010045" TargetMode="External"/><Relationship Id="rId37" Type="http://schemas.openxmlformats.org/officeDocument/2006/relationships/hyperlink" Target="https://doi.org/10.1080/01443615.2021.2004104" TargetMode="External"/><Relationship Id="rId38" Type="http://schemas.openxmlformats.org/officeDocument/2006/relationships/hyperlink" Target="https://doi.org/10.1080/0972060X.2020.1794994" TargetMode="External"/><Relationship Id="rId39" Type="http://schemas.openxmlformats.org/officeDocument/2006/relationships/hyperlink" Target="https://doi.org/10.1111/j.1463-1318.2006.01185.x" TargetMode="External"/><Relationship Id="rId40" Type="http://schemas.openxmlformats.org/officeDocument/2006/relationships/hyperlink" Target="https://doi.org/10.1186/s12906-022-03619-9" TargetMode="External"/><Relationship Id="rId41" Type="http://schemas.openxmlformats.org/officeDocument/2006/relationships/hyperlink" Target="https://www.ema.europa.eu/en/documents/herbal-report/final-assessment-report-syzygium-aromaticum-l-merill-et-lm-perry-flos-and-syzygium-aromaticum-l-merill-et-lm-perry-floris-aetheroleum_en.pdf" TargetMode="External"/><Relationship Id="rId42" Type="http://schemas.openxmlformats.org/officeDocument/2006/relationships/hyperlink" Target="https://doi.org/10.30442/ahr.0701-07-116" TargetMode="External"/><Relationship Id="rId43" Type="http://schemas.openxmlformats.org/officeDocument/2006/relationships/hyperlink" Target="https://doi.org/10.3389/fphar.2023.1185412" TargetMode="External"/><Relationship Id="rId44" Type="http://schemas.openxmlformats.org/officeDocument/2006/relationships/hyperlink" Target="https://doi.org/10.1177/1744806918770320" TargetMode="External"/><Relationship Id="rId45" Type="http://schemas.openxmlformats.org/officeDocument/2006/relationships/hyperlink" Target="https://doi.org/10.1097/AOG.0000000000004096" TargetMode="External"/><Relationship Id="rId46" Type="http://schemas.openxmlformats.org/officeDocument/2006/relationships/hyperlink" Target="https://doi.org/10.3109/00498259009046865" TargetMode="External"/><Relationship Id="rId47" Type="http://schemas.openxmlformats.org/officeDocument/2006/relationships/hyperlink" Target="https://doi.org/10.1038/nrd1034" TargetMode="External"/><Relationship Id="rId48" Type="http://schemas.openxmlformats.org/officeDocument/2006/relationships/hyperlink" Target="https://doi.org/10.1034/j.1600-0412.2002.811202.x" TargetMode="External"/><Relationship Id="rId49" Type="http://schemas.openxmlformats.org/officeDocument/2006/relationships/hyperlink" Target="https://doi.org/10.2174/1389557518666181022120248" TargetMode="External"/><Relationship Id="rId50" Type="http://schemas.openxmlformats.org/officeDocument/2006/relationships/hyperlink" Target="https://doi.org/10.1093/jhmas/jrab001" TargetMode="External"/><Relationship Id="rId51" Type="http://schemas.openxmlformats.org/officeDocument/2006/relationships/hyperlink" Target="https://doi.org/10.1080/14786419.2021.1903019" TargetMode="External"/><Relationship Id="rId52" Type="http://schemas.openxmlformats.org/officeDocument/2006/relationships/hyperlink" Target="https://doi.org/10.1016/j.yrtph.2019.104456" TargetMode="External"/><Relationship Id="rId53" Type="http://schemas.openxmlformats.org/officeDocument/2006/relationships/hyperlink" Target="https://doi.org/10.1111/j.1365-2885.2006.00740.x" TargetMode="External"/><Relationship Id="rId54" Type="http://schemas.openxmlformats.org/officeDocument/2006/relationships/hyperlink" Target="https://doi.org/10.1002/ptr.4686" TargetMode="External"/><Relationship Id="rId55" Type="http://schemas.openxmlformats.org/officeDocument/2006/relationships/hyperlink" Target="https://doi.org/10.1089/jmf.2010.0197" TargetMode="External"/><Relationship Id="rId56" Type="http://schemas.openxmlformats.org/officeDocument/2006/relationships/hyperlink" Target="https://doi.org/10.1007/s00210-012-0742-2" TargetMode="External"/><Relationship Id="rId57" Type="http://schemas.openxmlformats.org/officeDocument/2006/relationships/hyperlink" Target="https://doi.org/10.1016/j.jpag.2006.09.001" TargetMode="External"/><Relationship Id="rId58" Type="http://schemas.openxmlformats.org/officeDocument/2006/relationships/hyperlink" Target="https://doi.org/10.1196/annals.1429.007" TargetMode="External"/><Relationship Id="rId59" Type="http://schemas.openxmlformats.org/officeDocument/2006/relationships/hyperlink" Target="https://doi.org/10.3390/molecules26216387" TargetMode="External"/><Relationship Id="rId60" Type="http://schemas.openxmlformats.org/officeDocument/2006/relationships/hyperlink" Target="https://doi.org/10.1016/j.lfs.2021.119955" TargetMode="External"/><Relationship Id="rId61" Type="http://schemas.openxmlformats.org/officeDocument/2006/relationships/hyperlink" Target="https://doi.org/10.1016/j.prostaglandins.2022.106635" TargetMode="External"/><Relationship Id="rId62" Type="http://schemas.openxmlformats.org/officeDocument/2006/relationships/hyperlink" Target="https://doi.org/10.3390/ijms23116128" TargetMode="External"/><Relationship Id="rId63" Type="http://schemas.openxmlformats.org/officeDocument/2006/relationships/hyperlink" Target="https://doi.org/10.22038/ajp.2011.114" TargetMode="External"/><Relationship Id="rId64" Type="http://schemas.openxmlformats.org/officeDocument/2006/relationships/hyperlink" Target="https://doi.org/10.1093/humupd/dmv039" TargetMode="External"/><Relationship Id="rId65" Type="http://schemas.openxmlformats.org/officeDocument/2006/relationships/hyperlink" Target="https://doi.org/10.1080/10412905.2022.2072968" TargetMode="External"/><Relationship Id="rId66" Type="http://schemas.openxmlformats.org/officeDocument/2006/relationships/hyperlink" Target="https://doi.org/10.1016/j.ogrm.2020.05.004" TargetMode="External"/><Relationship Id="rId67" Type="http://schemas.openxmlformats.org/officeDocument/2006/relationships/hyperlink" Target="https://doi.org/10.1016/j.cppeds.2022.101183" TargetMode="External"/><Relationship Id="rId68" Type="http://schemas.openxmlformats.org/officeDocument/2006/relationships/hyperlink" Target="https://doi.org/10.1016/j.hermed.2021.100440" TargetMode="External"/><Relationship Id="rId69" Type="http://schemas.openxmlformats.org/officeDocument/2006/relationships/hyperlink" Target="https://doi.org/10.1021/jf060608c" TargetMode="External"/><Relationship Id="rId70" Type="http://schemas.openxmlformats.org/officeDocument/2006/relationships/hyperlink" Target="https://doi.org/10.1016/j.toxrep.2016.04.001" TargetMode="External"/><Relationship Id="rId71" Type="http://schemas.openxmlformats.org/officeDocument/2006/relationships/hyperlink" Target="https://doi.org/10.1093/epirev/mxt009" TargetMode="External"/><Relationship Id="rId72" Type="http://schemas.openxmlformats.org/officeDocument/2006/relationships/hyperlink" Target="https://doi.org/10.1016/j.tox.2024.153442" TargetMode="External"/><Relationship Id="rId73" Type="http://schemas.openxmlformats.org/officeDocument/2006/relationships/hyperlink" Target="https://doi.org/10.3390/molecules17066953" TargetMode="External"/><Relationship Id="rId74" Type="http://schemas.openxmlformats.org/officeDocument/2006/relationships/hyperlink" Target="https://pubmed.ncbi.nlm.nih.gov/25050273/" TargetMode="External"/><Relationship Id="rId75" Type="http://schemas.openxmlformats.org/officeDocument/2006/relationships/hyperlink" Target="https://doi.org/10.1080/15376516.2021.2005389" TargetMode="External"/><Relationship Id="rId76" Type="http://schemas.openxmlformats.org/officeDocument/2006/relationships/hyperlink" Target="https://doi.org/10.1016/j.jep.2021.113939" TargetMode="External"/><Relationship Id="rId77" Type="http://schemas.openxmlformats.org/officeDocument/2006/relationships/hyperlink" Target="https://www.phytojournal.com/archives/2019/vol8issue1/PartG/7-6-164-236.pdf" TargetMode="External"/><Relationship Id="rId78" Type="http://schemas.openxmlformats.org/officeDocument/2006/relationships/hyperlink" Target="https://doi.org/10.1016/j.hermed.2021.100438" TargetMode="External"/><Relationship Id="rId79" Type="http://schemas.openxmlformats.org/officeDocument/2006/relationships/hyperlink" Target="https://doi.org/10.1016/S0024-3205(03" TargetMode="External"/><Relationship Id="rId80" Type="http://schemas.openxmlformats.org/officeDocument/2006/relationships/hyperlink" Target="https://doi.org/10.3390/ijms22168765" TargetMode="External"/><Relationship Id="rId81" Type="http://schemas.openxmlformats.org/officeDocument/2006/relationships/hyperlink" Target="https://doi.org/10.1089/jwh.2020.8796" TargetMode="External"/><Relationship Id="rId82" Type="http://schemas.openxmlformats.org/officeDocument/2006/relationships/hyperlink" Target="https://doi.org/10.1177/00220345211044388" TargetMode="External"/><Relationship Id="rId83" Type="http://schemas.openxmlformats.org/officeDocument/2006/relationships/hyperlink" Target="https://doi.org/10.5772/intechopen.99199" TargetMode="External"/><Relationship Id="rId84" Type="http://schemas.openxmlformats.org/officeDocument/2006/relationships/hyperlink" Target="https://doi.org/10.4103/0253-7613.27702" TargetMode="External"/><Relationship Id="rId85" Type="http://schemas.openxmlformats.org/officeDocument/2006/relationships/hyperlink" Target="https://www.czytelniamedyczna.pl/4799,przeciwgrzybicze-dzialanie-olejku-gozdzikowego.html" TargetMode="External"/><Relationship Id="rId86" Type="http://schemas.openxmlformats.org/officeDocument/2006/relationships/hyperlink" Target="https://doi.org/10.18433/jpps31456" TargetMode="External"/><Relationship Id="rId87" Type="http://schemas.openxmlformats.org/officeDocument/2006/relationships/hyperlink" Target="https://doi.org/10.1590/S0001-37652007000200004" TargetMode="External"/><Relationship Id="rId88" Type="http://schemas.openxmlformats.org/officeDocument/2006/relationships/hyperlink" Target="https://doi.org/10.3390/nu12113438" TargetMode="External"/><Relationship Id="rId89" Type="http://schemas.openxmlformats.org/officeDocument/2006/relationships/hyperlink" Target="https://doi.org/10.1016/j.maturitas.2015.11.013" TargetMode="External"/><Relationship Id="rId90" Type="http://schemas.openxmlformats.org/officeDocument/2006/relationships/hyperlink" Target="https://doi.org/10.1097/MD.0000000000022592" TargetMode="External"/><Relationship Id="rId91" Type="http://schemas.openxmlformats.org/officeDocument/2006/relationships/hyperlink" Target="https://doi.org/10.1007/112_2021_65" TargetMode="External"/><Relationship Id="rId92" Type="http://schemas.openxmlformats.org/officeDocument/2006/relationships/hyperlink" Target="https://doi.org/10.1177/154405910808700204" TargetMode="External"/><Relationship Id="rId93" Type="http://schemas.openxmlformats.org/officeDocument/2006/relationships/hyperlink" Target="https://doi.org/10.12771/emj.2024.e39" TargetMode="External"/><Relationship Id="rId94" Type="http://schemas.openxmlformats.org/officeDocument/2006/relationships/hyperlink" Target="https://doi.org/10.5455/rmj.20230803092427" TargetMode="External"/><Relationship Id="rId95" Type="http://schemas.openxmlformats.org/officeDocument/2006/relationships/hyperlink" Target="https://doi.org/10.1016/j.maturitas.2020.03.009" TargetMode="External"/><Relationship Id="rId96" Type="http://schemas.openxmlformats.org/officeDocument/2006/relationships/hyperlink" Target="https://doi.org/10.2147/JPR.S401229" TargetMode="External"/><Relationship Id="rId97" Type="http://schemas.openxmlformats.org/officeDocument/2006/relationships/hyperlink" Target="https://doi.org/10.1016/j.jpag.2022.04.008" TargetMode="External"/><Relationship Id="rId98" Type="http://schemas.openxmlformats.org/officeDocument/2006/relationships/hyperlink" Target="https://doi.org/10.2220/biomedres.27.69" TargetMode="External"/><Relationship Id="rId99" Type="http://schemas.openxmlformats.org/officeDocument/2006/relationships/hyperlink" Target="https://doi.org/10.1021/acs.jafc.2c06300" TargetMode="External"/><Relationship Id="rId100" Type="http://schemas.openxmlformats.org/officeDocument/2006/relationships/hyperlink" Target="https://doi.org/10.1016/j.ejogrb.2007.10.015" TargetMode="External"/><Relationship Id="rId101" Type="http://schemas.openxmlformats.org/officeDocument/2006/relationships/hyperlink" Target="https://doi.org/10.1016/j.vascn.2020.106810" TargetMode="External"/><Relationship Id="rId102" Type="http://schemas.openxmlformats.org/officeDocument/2006/relationships/hyperlink" Target="https://doi.org/10.2147/IJWH.S521349" TargetMode="External"/><Relationship Id="rId103" Type="http://schemas.openxmlformats.org/officeDocument/2006/relationships/hyperlink" Target="https://doi.org/10.4236/jbm.2017.511007" TargetMode="External"/><Relationship Id="rId104" Type="http://schemas.openxmlformats.org/officeDocument/2006/relationships/hyperlink" Target="https://doi.org/10.3791/63511" TargetMode="External"/><Relationship Id="rId105" Type="http://schemas.openxmlformats.org/officeDocument/2006/relationships/hyperlink" Target="https://doi.org/10.1002/jat.4234" TargetMode="External"/><Relationship Id="rId106" Type="http://schemas.openxmlformats.org/officeDocument/2006/relationships/hyperlink" Target="https://doi.org/10.1016/j.ejphar.2010.08.021" TargetMode="External"/><Relationship Id="rId107" Type="http://schemas.openxmlformats.org/officeDocument/2006/relationships/hyperlink" Target="https://doi.org/10.1016/j.foodcont.2021.108190" TargetMode="External"/><Relationship Id="rId108" Type="http://schemas.openxmlformats.org/officeDocument/2006/relationships/hyperlink" Target="https://doi.org/10.1002/14651858.CD001751.pub3" TargetMode="External"/><Relationship Id="rId109" Type="http://schemas.openxmlformats.org/officeDocument/2006/relationships/hyperlink" Target="https://doi.org/10.1080/0972060X.2020.1835772" TargetMode="External"/><Relationship Id="rId110" Type="http://schemas.openxmlformats.org/officeDocument/2006/relationships/hyperlink" Target="https://doi.org/10.1016/j.fct.2008.06.006" TargetMode="External"/><Relationship Id="rId111" Type="http://schemas.openxmlformats.org/officeDocument/2006/relationships/hyperlink" Target="https://journals.innovareacademics.in/index.php/ijpps/article/view/2055" TargetMode="External"/><Relationship Id="rId112" Type="http://schemas.openxmlformats.org/officeDocument/2006/relationships/hyperlink" Target="https://doi.org/10.1038/sj.bjp.0704767" TargetMode="External"/><Relationship Id="rId113" Type="http://schemas.openxmlformats.org/officeDocument/2006/relationships/hyperlink" Target="https://doi.org/10.1080/10408398.2021.1895062" TargetMode="External"/><Relationship Id="rId114" Type="http://schemas.openxmlformats.org/officeDocument/2006/relationships/hyperlink" Target="https://doi.org/10.1016/j.yrtph.2021.104930" TargetMode="External"/><Relationship Id="rId115" Type="http://schemas.openxmlformats.org/officeDocument/2006/relationships/hyperlink" Target="https://www.researchgate.net/publication/228357516" TargetMode="External"/><Relationship Id="rId116" Type="http://schemas.openxmlformats.org/officeDocument/2006/relationships/hyperlink" Target="https://doi.org/10.1007/s40264-022-01169-0" TargetMode="External"/><Relationship Id="rId117" Type="http://schemas.openxmlformats.org/officeDocument/2006/relationships/hyperlink" Target="https://doi.org/10.1080/J157v06n01_03" TargetMode="External"/><Relationship Id="rId118" Type="http://schemas.openxmlformats.org/officeDocument/2006/relationships/hyperlink" Target="https://doi.org/10.3390/ph17211505" TargetMode="External"/><Relationship Id="rId119" Type="http://schemas.openxmlformats.org/officeDocument/2006/relationships/hyperlink" Target="https://doi.org/10.1254/jjp.79.327" TargetMode="External"/><Relationship Id="rId120" Type="http://schemas.openxmlformats.org/officeDocument/2006/relationships/hyperlink" Target="https://doi.org/10.4315/JFP-20-365" TargetMode="External"/><Relationship Id="rId121" Type="http://schemas.openxmlformats.org/officeDocument/2006/relationships/hyperlink" Target="https://doi.org/10.1016/j.jpag.2010.05.004" TargetMode="External"/><Relationship Id="rId122" Type="http://schemas.openxmlformats.org/officeDocument/2006/relationships/hyperlink" Target="https://doi.org/10.4103/njcp.njcp_117_20" TargetMode="External"/><Relationship Id="rId123" Type="http://schemas.openxmlformats.org/officeDocument/2006/relationships/hyperlink" Target="https://doi.org/10.1787/9789264071001-en" TargetMode="External"/><Relationship Id="rId124" Type="http://schemas.openxmlformats.org/officeDocument/2006/relationships/hyperlink" Target="https://doi.org/10.1787/9789264071049-en" TargetMode="External"/><Relationship Id="rId125" Type="http://schemas.openxmlformats.org/officeDocument/2006/relationships/hyperlink" Target="https://doi.org/10.1016/j.ajog.2017.08.108" TargetMode="External"/><Relationship Id="rId126" Type="http://schemas.openxmlformats.org/officeDocument/2006/relationships/hyperlink" Target="https://doi.org/10.1016/j.hermed.2021.100487" TargetMode="External"/><Relationship Id="rId127" Type="http://schemas.openxmlformats.org/officeDocument/2006/relationships/hyperlink" Target="https://doi.org/10.1016/j.ejphar.2022.174984" TargetMode="External"/><Relationship Id="rId128" Type="http://schemas.openxmlformats.org/officeDocument/2006/relationships/hyperlink" Target="https://doi.org/10.1016/j.ejphar.2020.173645" TargetMode="External"/><Relationship Id="rId129" Type="http://schemas.openxmlformats.org/officeDocument/2006/relationships/hyperlink" Target="https://doi.org/10.1016/S0378-8741(01" TargetMode="External"/><Relationship Id="rId130" Type="http://schemas.openxmlformats.org/officeDocument/2006/relationships/hyperlink" Target="https://www.ncbi.nlm.nih.gov/books/NBK553201/" TargetMode="External"/><Relationship Id="rId131" Type="http://schemas.openxmlformats.org/officeDocument/2006/relationships/hyperlink" Target="https://doi.org/10.1007/s40011-021-01287-8" TargetMode="External"/><Relationship Id="rId132" Type="http://schemas.openxmlformats.org/officeDocument/2006/relationships/hyperlink" Target="https://doi.org/10.1007/s10068-021-00900-y" TargetMode="External"/><Relationship Id="rId133" Type="http://schemas.openxmlformats.org/officeDocument/2006/relationships/hyperlink" Target="https://doi.org/10.1016/j.pain.2006.04.024" TargetMode="External"/><Relationship Id="rId134" Type="http://schemas.openxmlformats.org/officeDocument/2006/relationships/hyperlink" Target="https://doi.org/10.1002/14651858.CD002124.pub2" TargetMode="External"/><Relationship Id="rId135" Type="http://schemas.openxmlformats.org/officeDocument/2006/relationships/hyperlink" Target="https://doi.org/10.1039/D1NP00044A" TargetMode="External"/><Relationship Id="rId136" Type="http://schemas.openxmlformats.org/officeDocument/2006/relationships/hyperlink" Target="https://doi.org/10.1111/bph.12820" TargetMode="External"/><Relationship Id="rId137" Type="http://schemas.openxmlformats.org/officeDocument/2006/relationships/hyperlink" Target="https://doi.org/10.1016/j.neulet.2021.136117" TargetMode="External"/><Relationship Id="rId138" Type="http://schemas.openxmlformats.org/officeDocument/2006/relationships/hyperlink" Target="https://doi.org/10.29057/icsa.v6i11.2723" TargetMode="External"/><Relationship Id="rId139" Type="http://schemas.openxmlformats.org/officeDocument/2006/relationships/hyperlink" Target="https://doi.org/10.1007/s11033-014-3657-9" TargetMode="External"/><Relationship Id="rId140" Type="http://schemas.openxmlformats.org/officeDocument/2006/relationships/hyperlink" Target="https://doi.org/10.1007/s12038-022-00266-z" TargetMode="External"/><Relationship Id="rId141" Type="http://schemas.openxmlformats.org/officeDocument/2006/relationships/hyperlink" Target="https://doi.org/10.1021/acsomega.5c04146" TargetMode="External"/><Relationship Id="rId142" Type="http://schemas.openxmlformats.org/officeDocument/2006/relationships/hyperlink" Target="https://doi.org/10.20473/jmv.vol4.iss2.2021.226-230" TargetMode="External"/><Relationship Id="rId143" Type="http://schemas.openxmlformats.org/officeDocument/2006/relationships/hyperlink" Target="https://doi.org/10.1016/j.plefa.2005.10.002" TargetMode="External"/><Relationship Id="rId144" Type="http://schemas.openxmlformats.org/officeDocument/2006/relationships/hyperlink" Target="https://doi.org/10.1089/acm.2020.0436" TargetMode="External"/><Relationship Id="rId145" Type="http://schemas.openxmlformats.org/officeDocument/2006/relationships/hyperlink" Target="https://doi.org/10.1540/jsmr.58.1" TargetMode="External"/><Relationship Id="rId146" Type="http://schemas.openxmlformats.org/officeDocument/2006/relationships/hyperlink" Target="https://doi.org/10.1016/j.phymed.2021.153558" TargetMode="External"/><Relationship Id="rId147" Type="http://schemas.openxmlformats.org/officeDocument/2006/relationships/hyperlink" Target="https://doi.org/10.1056/nejm198401053100115" TargetMode="External"/><Relationship Id="rId148" Type="http://schemas.openxmlformats.org/officeDocument/2006/relationships/hyperlink" Target="https://doi.org/10.1186/s12905-022-01614-3" TargetMode="External"/><Relationship Id="rId149" Type="http://schemas.openxmlformats.org/officeDocument/2006/relationships/hyperlink" Target="https://doi.org/10.1002/cphy.c210027" TargetMode="External"/><Relationship Id="rId150" Type="http://schemas.openxmlformats.org/officeDocument/2006/relationships/hyperlink" Target="https://doi.org/10.1016/j.plefa.2021.102294" TargetMode="External"/><Relationship Id="rId151" Type="http://schemas.openxmlformats.org/officeDocument/2006/relationships/hyperlink" Target="https://doi.org/10.1080/14786410802242679" TargetMode="External"/><Relationship Id="rId152" Type="http://schemas.openxmlformats.org/officeDocument/2006/relationships/hyperlink" Target="https://doi.org/10.1194/jlr.R800042-JLR200" TargetMode="External"/><Relationship Id="rId153" Type="http://schemas.openxmlformats.org/officeDocument/2006/relationships/hyperlink" Target="https://doi.org/10.1021/acs.jafc.6b00337" TargetMode="External"/><Relationship Id="rId154" Type="http://schemas.openxmlformats.org/officeDocument/2006/relationships/hyperlink" Target="https://doi.org/10.3390/app11125432" TargetMode="External"/><Relationship Id="rId155" Type="http://schemas.openxmlformats.org/officeDocument/2006/relationships/hyperlink" Target="https://doi.org/10.1002/14651858.CD001751.pub4" TargetMode="External"/><Relationship Id="rId156" Type="http://schemas.openxmlformats.org/officeDocument/2006/relationships/hyperlink" Target="https://doi.org/10.1007/s00210-010-0582-x" TargetMode="External"/><Relationship Id="rId157" Type="http://schemas.openxmlformats.org/officeDocument/2006/relationships/hyperlink" Target="https://doi.org/10.3389/fphar.2021.751207" TargetMode="External"/><Relationship Id="rId158" Type="http://schemas.openxmlformats.org/officeDocument/2006/relationships/hyperlink" Target="https://doi.org/10.14202/vetworld.2022.684-692" TargetMode="External"/><Relationship Id="rId159" Type="http://schemas.openxmlformats.org/officeDocument/2006/relationships/hyperlink" Target="https://doi.org/10.1016/j.lfs.2023.121361" TargetMode="External"/><Relationship Id="rId160" Type="http://schemas.openxmlformats.org/officeDocument/2006/relationships/hyperlink" Target="https://doi.org/10.1007/s11694-020-00482-5" TargetMode="External"/><Relationship Id="rId161" Type="http://schemas.openxmlformats.org/officeDocument/2006/relationships/hyperlink" Target="https://doi.org/10.1124/jpet.113.207936" TargetMode="External"/><Relationship Id="rId162" Type="http://schemas.openxmlformats.org/officeDocument/2006/relationships/hyperlink" Target="https://doi.org/10.1021/jf051513y" TargetMode="External"/><Relationship Id="rId163" Type="http://schemas.openxmlformats.org/officeDocument/2006/relationships/hyperlink" Target="https://doi.org/10.1007/s13197-021-05073-0" TargetMode="External"/><Relationship Id="rId164" Type="http://schemas.openxmlformats.org/officeDocument/2006/relationships/hyperlink" Target="https://doi.org/10.1016/j.jep.2021.114152" TargetMode="External"/><Relationship Id="rId165" Type="http://schemas.openxmlformats.org/officeDocument/2006/relationships/hyperlink" Target="https://doi.org/10.1016/j.vascn.2022.107166" TargetMode="External"/><Relationship Id="rId166" Type="http://schemas.openxmlformats.org/officeDocument/2006/relationships/hyperlink" Target="https://doi.org/10.1124/jpet.121.000683" TargetMode="External"/><Relationship Id="rId167" Type="http://schemas.openxmlformats.org/officeDocument/2006/relationships/hyperlink" Target="https://doi.org/10.1002/ptr.7386" TargetMode="External"/><Relationship Id="rId168" Type="http://schemas.openxmlformats.org/officeDocument/2006/relationships/hyperlink" Target="https://doi.org/10.1093/toxres/tfab032" TargetMode="External"/><Relationship Id="rId169" Type="http://schemas.openxmlformats.org/officeDocument/2006/relationships/hyperlink" Target="https://doi.org/10.1016/j.ejphar.2022.174840" TargetMode="External"/><Relationship Id="rId170" Type="http://schemas.openxmlformats.org/officeDocument/2006/relationships/hyperlink" Target="https://doi.org/10.7759/cureus.67439" TargetMode="External"/><Relationship Id="rId171" Type="http://schemas.openxmlformats.org/officeDocument/2006/relationships/hyperlink" Target="https://doi.org/10.1146/annurev.biochem.69.1.145" TargetMode="External"/><Relationship Id="rId172" Type="http://schemas.openxmlformats.org/officeDocument/2006/relationships/hyperlink" Target="https://doi.org/10.3389/fcell.2026.1756355" TargetMode="External"/><Relationship Id="rId173" Type="http://schemas.openxmlformats.org/officeDocument/2006/relationships/hyperlink" Target="https://obgyn.lwwhealthlibrary.com/book.aspx?bookid=2698" TargetMode="External"/><Relationship Id="rId174" Type="http://schemas.openxmlformats.org/officeDocument/2006/relationships/hyperlink" Target="https://doi.org/10.1016/0952-3278(91" TargetMode="External"/><Relationship Id="rId175" Type="http://schemas.openxmlformats.org/officeDocument/2006/relationships/hyperlink" Target="https://doi.org/10.3109/00016348409156715" TargetMode="External"/><Relationship Id="rId176" Type="http://schemas.openxmlformats.org/officeDocument/2006/relationships/hyperlink" Target="https://doi.org/10.1002/jum.15801" TargetMode="External"/><Relationship Id="rId177" Type="http://schemas.openxmlformats.org/officeDocument/2006/relationships/hyperlink" Target="https://doi.org/10.3390/antiox9100994" TargetMode="External"/><Relationship Id="rId178" Type="http://schemas.openxmlformats.org/officeDocument/2006/relationships/hyperlink" Target="https://doi.org/10.1016/j.vascn.2022.107192" TargetMode="External"/><Relationship Id="rId179" Type="http://schemas.openxmlformats.org/officeDocument/2006/relationships/hyperlink" Target="https://doi.org/10.3402/ljm.v10.28685" TargetMode="External"/><Relationship Id="rId180" Type="http://schemas.openxmlformats.org/officeDocument/2006/relationships/hyperlink" Target="https://doi.org/10.1016/j.neubiorev.2022.104705" TargetMode="External"/><Relationship Id="rId181" Type="http://schemas.openxmlformats.org/officeDocument/2006/relationships/hyperlink" Target="https://doi.org/10.1186/1472-6882-4-17" TargetMode="External"/><Relationship Id="rId182" Type="http://schemas.openxmlformats.org/officeDocument/2006/relationships/hyperlink" Target="https://doi.org/10.1016/j.prostaglandins.2023.106675" TargetMode="External"/><Relationship Id="rId183" Type="http://schemas.openxmlformats.org/officeDocument/2006/relationships/hyperlink" Target="https://doi.org/10.1080/09540105.2017.1320357" TargetMode="External"/><Relationship Id="rId184" Type="http://schemas.openxmlformats.org/officeDocument/2006/relationships/hyperlink" Target="https://doi.org/10.1080/10412905.2022.2036629" TargetMode="External"/><Relationship Id="rId185" Type="http://schemas.openxmlformats.org/officeDocument/2006/relationships/hyperlink" Target="https://doi.org/10.1146/annurev.pharmtox.38.1.97" TargetMode="External"/><Relationship Id="rId186" Type="http://schemas.openxmlformats.org/officeDocument/2006/relationships/hyperlink" Target="https://doi.org/10.1080/0972060X.2022.2075501" TargetMode="External"/><Relationship Id="rId187" Type="http://schemas.openxmlformats.org/officeDocument/2006/relationships/hyperlink" Target="https://doi.org/10.1530/JOE-20-0609" TargetMode="External"/><Relationship Id="rId188" Type="http://schemas.openxmlformats.org/officeDocument/2006/relationships/hyperlink" Target="https://doi.org/10.1038/s41392-020-00443-w" TargetMode="External"/><Relationship Id="rId189" Type="http://schemas.openxmlformats.org/officeDocument/2006/relationships/hyperlink" Target="https://doi.org/10.1002/14651858.CD002120.pub3" TargetMode="External"/><Relationship Id="rId190" Type="http://schemas.openxmlformats.org/officeDocument/2006/relationships/hyperlink" Target="https://doi.org/10.1016/j.vascn.2023.107213" TargetMode="External"/><Relationship Id="rId191" Type="http://schemas.openxmlformats.org/officeDocument/2006/relationships/hyperlink" Target="https://doi.org/10.3389/fnut.2022.1002147" TargetMode="External"/><Relationship Id="rId192" Type="http://schemas.openxmlformats.org/officeDocument/2006/relationships/hyperlink" Target="https://doi.org/10.1248/yakushi.21-00223" TargetMode="External"/><Relationship Id="rId193" Type="http://schemas.openxmlformats.org/officeDocument/2006/relationships/hyperlink" Target="https://doi.org/10.1538/expanim.14-0111" TargetMode="External"/><Relationship Id="rId194" Type="http://schemas.openxmlformats.org/officeDocument/2006/relationships/hyperlink" Target="https://doi.org/10.1016/S1875-5364(16" TargetMode="External"/><Relationship Id="rId195" Type="http://schemas.openxmlformats.org/officeDocument/2006/relationships/hyperlink" Target="https://doi.org/10.1089/jmf.2020.4730" TargetMode="External"/><Relationship Id="rId196" Type="http://schemas.openxmlformats.org/officeDocument/2006/relationships/hyperlink" Target="https://doi.org/10.1177/039463201102400208" TargetMode="External"/><Relationship Id="rId197" Type="http://schemas.openxmlformats.org/officeDocument/2006/relationships/hyperlink" Target="https://doi.org/10.1016/0002-9378(78" TargetMode="External"/><Relationship Id="rId198" Type="http://schemas.openxmlformats.org/officeDocument/2006/relationships/hyperlink" Target="https://doi.org/10.1016/j.tox.2009.12.018" TargetMode="External"/><Relationship Id="rId199" Type="http://schemas.openxmlformats.org/officeDocument/2006/relationships/hyperlink" Target="https://doi.org/10.1016/j.phymed.2022.154178" TargetMode="External"/><Relationship Id="rId200" Type="http://schemas.openxmlformats.org/officeDocument/2006/relationships/hyperlink" Target="https://doi.org/10.2147/JPR.S318522" TargetMode="External"/><Relationship Id="rId201" Type="http://schemas.openxmlformats.org/officeDocument/2006/relationships/hyperlink" Target="https://doi.org/10.1021/np50085a029" TargetMode="External"/><Relationship Id="rId202" Type="http://schemas.openxmlformats.org/officeDocument/2006/relationships/hyperlink" Target="https://doi.org/10.3389/fendo.2022.887142" TargetMode="External"/><Relationship Id="rId203" Type="http://schemas.openxmlformats.org/officeDocument/2006/relationships/hyperlink" Target="https://doi.org/10.1016/j.pmn.2025.02.001" TargetMode="External"/><Relationship Id="rId204" Type="http://schemas.openxmlformats.org/officeDocument/2006/relationships/hyperlink" Target="https://doi.org/10.1038/s41598-020-73295-9" TargetMode="External"/><Relationship Id="rId205" Type="http://schemas.openxmlformats.org/officeDocument/2006/relationships/hyperlink" Target="https://doi.org/10.1007/978-3-030-47483-6_7" TargetMode="External"/><Relationship Id="rId206" Type="http://schemas.openxmlformats.org/officeDocument/2006/relationships/hyperlink" Target="https://doi.org/10.3390/molecules24091675" TargetMode="External"/><Relationship Id="rId207" Type="http://schemas.openxmlformats.org/officeDocument/2006/relationships/hyperlink" Target="https://doi.org/10.1155/2018/3957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