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runs. Table 3.1 summarizes the group means and standard errors for the parameters measured during the Clove run.</w:t>
      </w:r>
    </w:p>
    <w:p>
      <w:pPr>
        <w:pStyle w:val="Heading3"/>
        <w:jc w:val="both"/>
      </w:pPr>
      <w:r>
        <w:rPr>
          <w:rFonts w:ascii="Times New Roman" w:hAnsi="Times New Roman" w:eastAsia="Times New Roman"/>
          <w:color w:val="000000"/>
          <w:sz w:val="24"/>
        </w:rPr>
        <w:t>Table 3.1: Group Means and Standard Errors (Clove Run)</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0.9114 ± 0.0576</w:t>
            </w:r>
          </w:p>
        </w:tc>
        <w:tc>
          <w:tcPr>
            <w:tcW w:type="dxa" w:w="1183"/>
          </w:tcPr>
          <w:p>
            <w:pPr>
              <w:jc w:val="center"/>
            </w:pPr>
            <w:r>
              <w:rPr>
                <w:rFonts w:ascii="Times New Roman" w:hAnsi="Times New Roman" w:eastAsia="Times New Roman"/>
                <w:color w:val="000000"/>
                <w:sz w:val="22"/>
              </w:rPr>
              <w:t>1.1535 ± 0.0764</w:t>
            </w:r>
          </w:p>
        </w:tc>
        <w:tc>
          <w:tcPr>
            <w:tcW w:type="dxa" w:w="1183"/>
          </w:tcPr>
          <w:p>
            <w:pPr>
              <w:jc w:val="center"/>
            </w:pPr>
            <w:r>
              <w:rPr>
                <w:rFonts w:ascii="Times New Roman" w:hAnsi="Times New Roman" w:eastAsia="Times New Roman"/>
                <w:color w:val="000000"/>
                <w:sz w:val="22"/>
              </w:rPr>
              <w:t>0.8102 ± 0.0535</w:t>
            </w:r>
          </w:p>
        </w:tc>
        <w:tc>
          <w:tcPr>
            <w:tcW w:type="dxa" w:w="1183"/>
          </w:tcPr>
          <w:p>
            <w:pPr>
              <w:jc w:val="center"/>
            </w:pPr>
            <w:r>
              <w:rPr>
                <w:rFonts w:ascii="Times New Roman" w:hAnsi="Times New Roman" w:eastAsia="Times New Roman"/>
                <w:color w:val="000000"/>
                <w:sz w:val="22"/>
              </w:rPr>
              <w:t>1.5567 ± 0.0970</w:t>
            </w:r>
          </w:p>
        </w:tc>
        <w:tc>
          <w:tcPr>
            <w:tcW w:type="dxa" w:w="1183"/>
          </w:tcPr>
          <w:p>
            <w:pPr>
              <w:jc w:val="center"/>
            </w:pPr>
            <w:r>
              <w:rPr>
                <w:rFonts w:ascii="Times New Roman" w:hAnsi="Times New Roman" w:eastAsia="Times New Roman"/>
                <w:color w:val="000000"/>
                <w:sz w:val="22"/>
              </w:rPr>
              <w:t>0.4470 ± 0.0953</w:t>
            </w:r>
          </w:p>
        </w:tc>
        <w:tc>
          <w:tcPr>
            <w:tcW w:type="dxa" w:w="1183"/>
          </w:tcPr>
          <w:p>
            <w:pPr>
              <w:jc w:val="center"/>
            </w:pPr>
            <w:r>
              <w:rPr>
                <w:rFonts w:ascii="Times New Roman" w:hAnsi="Times New Roman" w:eastAsia="Times New Roman"/>
                <w:color w:val="000000"/>
                <w:sz w:val="22"/>
              </w:rPr>
              <w:t>68.1196 ± 1.1053</w:t>
            </w:r>
          </w:p>
        </w:tc>
        <w:tc>
          <w:tcPr>
            <w:tcW w:type="dxa" w:w="1183"/>
          </w:tcPr>
          <w:p>
            <w:pPr>
              <w:jc w:val="center"/>
            </w:pPr>
            <w:r>
              <w:rPr>
                <w:rFonts w:ascii="Times New Roman" w:hAnsi="Times New Roman" w:eastAsia="Times New Roman"/>
                <w:color w:val="000000"/>
                <w:sz w:val="22"/>
              </w:rPr>
              <w:t>37.4126 ± 2.5205</w:t>
            </w:r>
          </w:p>
        </w:tc>
      </w:tr>
      <w:tr>
        <w:tc>
          <w:tcPr>
            <w:tcW w:type="dxa" w:w="1183"/>
          </w:tcPr>
          <w:p>
            <w:pPr>
              <w:jc w:val="center"/>
            </w:pPr>
            <w:r>
              <w:rPr>
                <w:rFonts w:ascii="Times New Roman" w:hAnsi="Times New Roman" w:eastAsia="Times New Roman"/>
                <w:b/>
                <w:color w:val="000000"/>
                <w:sz w:val="22"/>
              </w:rPr>
              <w:t>IB</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bl>
    <w:p>
      <w:pPr>
        <w:spacing w:line="360" w:lineRule="auto" w:after="0"/>
        <w:jc w:val="both"/>
      </w:pPr>
      <w:r>
        <w:rPr>
          <w:rFonts w:ascii="Times New Roman" w:hAnsi="Times New Roman" w:eastAsia="Times New Roman"/>
          <w:color w:val="000000"/>
          <w:sz w:val="24"/>
        </w:rPr>
        <w:t>Table 3.2 summarizes the group means and standard errors for the parameters measured during the Bay Leaf run.</w:t>
      </w:r>
    </w:p>
    <w:p>
      <w:pPr>
        <w:pStyle w:val="Heading3"/>
        <w:jc w:val="both"/>
      </w:pPr>
      <w:r>
        <w:rPr>
          <w:rFonts w:ascii="Times New Roman" w:hAnsi="Times New Roman" w:eastAsia="Times New Roman"/>
          <w:color w:val="000000"/>
          <w:sz w:val="24"/>
        </w:rPr>
        <w:t>Table 3.2: Group Means and Standard Errors (Bay Leaf Run)</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1.1504 ± 0.2566</w:t>
            </w:r>
          </w:p>
        </w:tc>
        <w:tc>
          <w:tcPr>
            <w:tcW w:type="dxa" w:w="1183"/>
          </w:tcPr>
          <w:p>
            <w:pPr>
              <w:jc w:val="center"/>
            </w:pPr>
            <w:r>
              <w:rPr>
                <w:rFonts w:ascii="Times New Roman" w:hAnsi="Times New Roman" w:eastAsia="Times New Roman"/>
                <w:color w:val="000000"/>
                <w:sz w:val="22"/>
              </w:rPr>
              <w:t>1.6703 ± 0.3716</w:t>
            </w:r>
          </w:p>
        </w:tc>
        <w:tc>
          <w:tcPr>
            <w:tcW w:type="dxa" w:w="1183"/>
          </w:tcPr>
          <w:p>
            <w:pPr>
              <w:jc w:val="center"/>
            </w:pPr>
            <w:r>
              <w:rPr>
                <w:rFonts w:ascii="Times New Roman" w:hAnsi="Times New Roman" w:eastAsia="Times New Roman"/>
                <w:color w:val="000000"/>
                <w:sz w:val="22"/>
              </w:rPr>
              <w:t>0.5725 ± 0.0648</w:t>
            </w:r>
          </w:p>
        </w:tc>
        <w:tc>
          <w:tcPr>
            <w:tcW w:type="dxa" w:w="1183"/>
          </w:tcPr>
          <w:p>
            <w:pPr>
              <w:jc w:val="center"/>
            </w:pPr>
            <w:r>
              <w:rPr>
                <w:rFonts w:ascii="Times New Roman" w:hAnsi="Times New Roman" w:eastAsia="Times New Roman"/>
                <w:color w:val="000000"/>
                <w:sz w:val="22"/>
              </w:rPr>
              <w:t>1.7265 ± 0.3234</w:t>
            </w:r>
          </w:p>
        </w:tc>
        <w:tc>
          <w:tcPr>
            <w:tcW w:type="dxa" w:w="1183"/>
          </w:tcPr>
          <w:p>
            <w:pPr>
              <w:jc w:val="center"/>
            </w:pPr>
            <w:r>
              <w:rPr>
                <w:rFonts w:ascii="Times New Roman" w:hAnsi="Times New Roman" w:eastAsia="Times New Roman"/>
                <w:color w:val="000000"/>
                <w:sz w:val="22"/>
              </w:rPr>
              <w:t>0.2082 ± 0.0565</w:t>
            </w:r>
          </w:p>
        </w:tc>
        <w:tc>
          <w:tcPr>
            <w:tcW w:type="dxa" w:w="1183"/>
          </w:tcPr>
          <w:p>
            <w:pPr>
              <w:jc w:val="center"/>
            </w:pPr>
            <w:r>
              <w:rPr>
                <w:rFonts w:ascii="Times New Roman" w:hAnsi="Times New Roman" w:eastAsia="Times New Roman"/>
                <w:color w:val="000000"/>
                <w:sz w:val="22"/>
              </w:rPr>
              <w:t>69.1803 ± 0.9836</w:t>
            </w:r>
          </w:p>
        </w:tc>
        <w:tc>
          <w:tcPr>
            <w:tcW w:type="dxa" w:w="1183"/>
          </w:tcPr>
          <w:p>
            <w:pPr>
              <w:jc w:val="center"/>
            </w:pPr>
            <w:r>
              <w:rPr>
                <w:rFonts w:ascii="Times New Roman" w:hAnsi="Times New Roman" w:eastAsia="Times New Roman"/>
                <w:color w:val="000000"/>
                <w:sz w:val="22"/>
              </w:rPr>
              <w:t>20.4797 ± 5.2768</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5290457"/>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5290457"/>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Catalase activity similarly falls from 1.2774 U/g Prot to 0.9805 U/g Prot. This represents the depletion of the primary enzymatic defense lines due to free radical generation.</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Glutathione peroxidase activity in the treated group is 1.5340 U/g Prot, also showing a significant reduction compared to the model control level of 2.1189 U/g Prot. The malondialdehyde concentration in the clove group increases to 0.4788 mol/g Prot, indicating lipid peroxidation. Ibuprofen treatment successfully lowers the malondialdehyde concentration to 0.0578 mol/g Prot.</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5290457"/>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5290457"/>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The mean catalase activity of the normal group is 0.3285 U/g Prot compared to 0.4533 U/g Prot in the model group. The standard deviations and standard errors are large relative to the differences between the group means, which prevents the detection of statistically significant changes.</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run.</w:t>
      </w:r>
    </w:p>
    <w:p>
      <w:pPr>
        <w:spacing w:before="240"/>
        <w:jc w:val="center"/>
      </w:pPr>
      <w:r>
        <w:drawing>
          <wp:inline xmlns:a="http://schemas.openxmlformats.org/drawingml/2006/main" xmlns:pic="http://schemas.openxmlformats.org/drawingml/2006/picture">
            <wp:extent cx="4114800" cy="27432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run.</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run,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run, the box plot shows a wide distribution of values across all groups. Individual animals in the normal control group overlap with those in the model control group. The large overlap explains the lack of statistical significance in this run.</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run.</w:t>
      </w:r>
    </w:p>
    <w:p>
      <w:pPr>
        <w:spacing w:before="24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run.</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run,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run,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markers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between all biochemical markers.</w:t>
      </w:r>
    </w:p>
    <w:p>
      <w:pPr>
        <w:spacing w:line="360" w:lineRule="auto" w:after="0"/>
        <w:jc w:val="both"/>
      </w:pPr>
      <w:r>
        <w:rPr>
          <w:rFonts w:ascii="Times New Roman" w:hAnsi="Times New Roman" w:eastAsia="Times New Roman"/>
          <w:color w:val="000000"/>
          <w:sz w:val="24"/>
        </w:rPr>
        <w:t>In this heatmap, the correlation values were calculated using all combined animal data from the clove and bay leaf runs.</w:t>
      </w:r>
    </w:p>
    <w:p>
      <w:pPr>
        <w:spacing w:line="360" w:lineRule="auto" w:after="0"/>
        <w:jc w:val="both"/>
      </w:pPr>
      <w:r>
        <w:rPr>
          <w:rFonts w:ascii="Times New Roman" w:hAnsi="Times New Roman" w:eastAsia="Times New Roman"/>
          <w:color w:val="000000"/>
          <w:sz w:val="24"/>
        </w:rPr>
        <w:t>Catalase and glutathione peroxidase exhibit a positive correlation of 0.702. This indicates that their activity levels tend to change in the same direction. These two enzymes work cooperatively to clear hydrogen peroxide from tissue.</w:t>
      </w:r>
    </w:p>
    <w:p>
      <w:pPr>
        <w:spacing w:line="360" w:lineRule="auto" w:after="0"/>
        <w:jc w:val="both"/>
      </w:pPr>
      <w:r>
        <w:rPr>
          <w:rFonts w:ascii="Times New Roman" w:hAnsi="Times New Roman" w:eastAsia="Times New Roman"/>
          <w:color w:val="000000"/>
          <w:sz w:val="24"/>
        </w:rPr>
        <w:t>Superoxide dismutase and glutathione peroxidase display a positive correlation of 0.493. This represents another coordinated shift in the enzymatic defense system.</w:t>
      </w:r>
    </w:p>
    <w:p>
      <w:pPr>
        <w:spacing w:line="360" w:lineRule="auto" w:after="0"/>
        <w:jc w:val="both"/>
      </w:pPr>
      <w:r>
        <w:rPr>
          <w:rFonts w:ascii="Times New Roman" w:hAnsi="Times New Roman" w:eastAsia="Times New Roman"/>
          <w:color w:val="000000"/>
          <w:sz w:val="24"/>
        </w:rPr>
        <w:t>Total protein and catalase have a negative correlation of -0.744. Total protein and glutathione peroxidase have a negative correlation of -0.649. This indicates that higher total protein concentrations are associated with lower measured activities of these two enzymes per gram of protein.</w:t>
      </w:r>
    </w:p>
    <w:p>
      <w:pPr>
        <w:spacing w:line="360" w:lineRule="auto" w:after="0"/>
        <w:jc w:val="both"/>
      </w:pPr>
      <w:r>
        <w:rPr>
          <w:rFonts w:ascii="Times New Roman" w:hAnsi="Times New Roman" w:eastAsia="Times New Roman"/>
          <w:color w:val="000000"/>
          <w:sz w:val="24"/>
        </w:rPr>
        <w:t>Malondialdehyde and reduced glutathione have a negative correlation of -0.094. This indicates that higher levels of cell damage are associated with lower levels of the protective antioxidant glutathione.</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 displays the normalized mean values of all seven parameters on a single circular axis. The healthy control, model control, and treatment groups form distinct geometric shapes. This chart provides a holistic view of the protective profile of the clove extract compared to the healthy and model states.</w:t>
      </w:r>
    </w:p>
    <w:p>
      <w:pPr>
        <w:spacing w:before="240"/>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clove_markers_radar_chart.png"/>
                    <pic:cNvPicPr/>
                  </pic:nvPicPr>
                  <pic:blipFill>
                    <a:blip r:embed="rId17"/>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3.8: Radar chart representing the normalized biometric profiles of Clove extract treated cohorts.</w:t>
      </w:r>
    </w:p>
    <w:p>
      <w:pPr>
        <w:spacing w:line="360" w:lineRule="auto" w:after="0"/>
        <w:jc w:val="both"/>
      </w:pPr>
      <w:r>
        <w:rPr>
          <w:rFonts w:ascii="Times New Roman" w:hAnsi="Times New Roman" w:eastAsia="Times New Roman"/>
          <w:color w:val="000000"/>
          <w:sz w:val="24"/>
        </w:rPr>
        <w:t>The radar chart maps the normalized mean values of the seven parameters on a single circular axis. The normal control group forms a distinct geometric shape characterized by high antioxidant levels. The model control group displays a shifted shape that highlights the depletion of superoxide dismutase and catalase. The clove treated group forms a shape that overlaps with the model control group, indicating a lack of protective recovery.</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