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left"/>
      </w:pPr>
      <w:r>
        <w:rPr>
          <w:rFonts w:ascii="Times New Roman" w:hAnsi="Times New Roman" w:eastAsia="Times New Roman"/>
          <w:color w:val="000000"/>
          <w:sz w:val="24"/>
        </w:rPr>
        <w:t>﻿# Title and Certification</w:t>
      </w:r>
    </w:p>
    <w:p>
      <w:pPr>
        <w:spacing w:line="360" w:lineRule="auto" w:after="0"/>
        <w:jc w:val="left"/>
      </w:pPr>
      <w:r>
        <w:rPr>
          <w:rFonts w:ascii="Times New Roman" w:hAnsi="Times New Roman" w:eastAsia="Times New Roman"/>
          <w:color w:val="000000"/>
          <w:sz w:val="24"/>
        </w:rPr>
        <w:t>This research project titled "Evaluation of Acute Oral Toxicity and Antidysmenorrhea Effects of Clove (Syzygium aromaticum)" is certified as original work.</w:t>
      </w:r>
    </w:p>
    <w:p>
      <w:pPr>
        <w:spacing w:line="360" w:lineRule="auto" w:after="0"/>
        <w:jc w:val="left"/>
      </w:pPr>
      <w:r>
        <w:rPr>
          <w:rFonts w:ascii="Times New Roman" w:hAnsi="Times New Roman" w:eastAsia="Times New Roman"/>
          <w:color w:val="000000"/>
          <w:sz w:val="24"/>
        </w:rPr>
        <w:t>﻿# Certificate of No Plagiarism</w:t>
      </w:r>
    </w:p>
    <w:p>
      <w:pPr>
        <w:spacing w:line="360" w:lineRule="auto" w:after="0"/>
        <w:jc w:val="left"/>
      </w:pPr>
      <w:r>
        <w:rPr>
          <w:rFonts w:ascii="Times New Roman" w:hAnsi="Times New Roman" w:eastAsia="Times New Roman"/>
          <w:color w:val="000000"/>
          <w:sz w:val="24"/>
        </w:rPr>
        <w:t>This is to certify that this research work has passed plagiarism checks and is free from any plagiarised content.</w:t>
      </w:r>
    </w:p>
    <w:p>
      <w:pPr>
        <w:spacing w:line="360" w:lineRule="auto" w:after="0"/>
        <w:jc w:val="left"/>
      </w:pPr>
      <w:r>
        <w:rPr>
          <w:rFonts w:ascii="Times New Roman" w:hAnsi="Times New Roman" w:eastAsia="Times New Roman"/>
          <w:color w:val="000000"/>
          <w:sz w:val="24"/>
        </w:rPr>
        <w:t>﻿# Dedication</w:t>
      </w:r>
    </w:p>
    <w:p>
      <w:pPr>
        <w:spacing w:line="360" w:lineRule="auto" w:after="0"/>
        <w:jc w:val="left"/>
      </w:pPr>
      <w:r>
        <w:rPr>
          <w:rFonts w:ascii="Times New Roman" w:hAnsi="Times New Roman" w:eastAsia="Times New Roman"/>
          <w:color w:val="000000"/>
          <w:sz w:val="24"/>
        </w:rPr>
        <w:t>This work is dedicated to God Almighty and to all those who supported this research journey.</w:t>
      </w:r>
    </w:p>
    <w:p>
      <w:pPr>
        <w:spacing w:line="360" w:lineRule="auto" w:after="0"/>
        <w:jc w:val="left"/>
      </w:pPr>
      <w:r>
        <w:rPr>
          <w:rFonts w:ascii="Times New Roman" w:hAnsi="Times New Roman" w:eastAsia="Times New Roman"/>
          <w:color w:val="000000"/>
          <w:sz w:val="24"/>
        </w:rPr>
        <w:t>﻿# Acknowledgement</w:t>
      </w:r>
    </w:p>
    <w:p>
      <w:pPr>
        <w:spacing w:line="360" w:lineRule="auto" w:after="0"/>
        <w:jc w:val="left"/>
      </w:pPr>
      <w:r>
        <w:rPr>
          <w:rFonts w:ascii="Times New Roman" w:hAnsi="Times New Roman" w:eastAsia="Times New Roman"/>
          <w:color w:val="000000"/>
          <w:sz w:val="24"/>
        </w:rPr>
        <w:t>I would like to express my sincere gratitude to my supervisor, family, and friends for their invaluable support.</w:t>
      </w:r>
    </w:p>
    <w:p>
      <w:r>
        <w:br w:type="page"/>
      </w:r>
    </w:p>
    <w:p>
      <w:pPr>
        <w:pStyle w:val="Heading1"/>
        <w:jc w:val="center"/>
      </w:pPr>
      <w:r>
        <w:rPr>
          <w:rFonts w:ascii="Times New Roman" w:hAnsi="Times New Roman" w:eastAsia="Times New Roman"/>
          <w:color w:val="000000"/>
          <w:sz w:val="28"/>
        </w:rPr>
        <w:t>TABLE OF CONTENTS</w:t>
      </w:r>
    </w:p>
    <w:p>
      <w:r>
        <w:fldChar w:fldCharType="begin"/>
        <w:instrText xml:space="preserve">TOC \o "1-3" \h \z \u</w:instrText>
        <w:fldChar w:fldCharType="separate"/>
        <w:fldChar w:fldCharType="end"/>
      </w:r>
    </w:p>
    <w:p>
      <w:pPr>
        <w:spacing w:line="360" w:lineRule="auto" w:after="0"/>
        <w:jc w:val="left"/>
      </w:pPr>
      <w:r>
        <w:rPr>
          <w:rFonts w:ascii="Times New Roman" w:hAnsi="Times New Roman" w:eastAsia="Times New Roman"/>
          <w:color w:val="000000"/>
          <w:sz w:val="24"/>
        </w:rPr>
        <w:t>﻿# Table of Contents</w:t>
      </w:r>
    </w:p>
    <w:p>
      <w:pPr>
        <w:spacing w:line="360" w:lineRule="auto" w:after="0"/>
        <w:jc w:val="left"/>
      </w:pPr>
      <w:r>
        <w:rPr>
          <w:rFonts w:ascii="Times New Roman" w:hAnsi="Times New Roman" w:eastAsia="Times New Roman"/>
          <w:color w:val="000000"/>
          <w:sz w:val="24"/>
        </w:rPr>
        <w:t>﻿# List of Figures</w:t>
      </w:r>
    </w:p>
    <w:p>
      <w:pPr>
        <w:spacing w:line="360" w:lineRule="auto" w:after="0"/>
        <w:jc w:val="left"/>
      </w:pPr>
      <w:r>
        <w:rPr>
          <w:rFonts w:ascii="Times New Roman" w:hAnsi="Times New Roman" w:eastAsia="Times New Roman"/>
          <w:color w:val="000000"/>
          <w:sz w:val="24"/>
        </w:rPr>
        <w:t>﻿# List of Abbreviations</w:t>
      </w:r>
    </w:p>
    <w:p>
      <w:pPr>
        <w:spacing w:line="360" w:lineRule="auto" w:after="0"/>
        <w:jc w:val="left"/>
      </w:pPr>
      <w:r>
        <w:rPr>
          <w:rFonts w:ascii="Times New Roman" w:hAnsi="Times New Roman" w:eastAsia="Times New Roman"/>
          <w:color w:val="000000"/>
          <w:sz w:val="24"/>
        </w:rPr>
        <w:t>﻿# Abstract</w:t>
      </w:r>
    </w:p>
    <w:p>
      <w:pPr>
        <w:spacing w:line="360" w:lineRule="auto" w:after="0"/>
        <w:jc w:val="left"/>
      </w:pPr>
      <w:r>
        <w:rPr>
          <w:rFonts w:ascii="Times New Roman" w:hAnsi="Times New Roman" w:eastAsia="Times New Roman"/>
          <w:color w:val="000000"/>
          <w:sz w:val="24"/>
        </w:rPr>
        <w:t>This study evaluates the acute oral toxicity and antidysmenorrhea effects of hydroalcoholic extract of clove (Syzygium aromaticum) in experimental animal models.</w:t>
      </w:r>
    </w:p>
    <w:p>
      <w:pPr>
        <w:pStyle w:val="Heading2"/>
        <w:jc w:val="left"/>
      </w:pPr>
      <w:r>
        <w:rPr>
          <w:rFonts w:ascii="Times New Roman" w:hAnsi="Times New Roman" w:eastAsia="Times New Roman"/>
          <w:color w:val="000000"/>
          <w:sz w:val="24"/>
        </w:rPr>
        <w:t>1.1 Background of Dysmenorrhea</w:t>
      </w:r>
    </w:p>
    <w:p>
      <w:pPr>
        <w:pStyle w:val="Heading3"/>
        <w:jc w:val="left"/>
      </w:pPr>
      <w:r>
        <w:rPr>
          <w:rFonts w:ascii="Times New Roman" w:hAnsi="Times New Roman" w:eastAsia="Times New Roman"/>
          <w:color w:val="000000"/>
          <w:sz w:val="24"/>
        </w:rPr>
        <w:t>1.1.1 Clinical Definition and Historical Context</w:t>
      </w:r>
    </w:p>
    <w:p>
      <w:pPr>
        <w:spacing w:line="360" w:lineRule="auto" w:after="0"/>
        <w:jc w:val="left"/>
      </w:pPr>
      <w:r>
        <w:rPr>
          <w:rFonts w:ascii="Times New Roman" w:hAnsi="Times New Roman" w:eastAsia="Times New Roman"/>
          <w:color w:val="000000"/>
          <w:sz w:val="24"/>
        </w:rPr>
        <w:t xml:space="preserve">Dysmenorrhea, originating from the Greek words </w:t>
      </w:r>
      <w:r>
        <w:rPr>
          <w:rFonts w:ascii="Times New Roman" w:hAnsi="Times New Roman" w:eastAsia="Times New Roman"/>
          <w:i/>
          <w:color w:val="000000"/>
          <w:sz w:val="24"/>
        </w:rPr>
        <w:t>dys</w:t>
      </w:r>
      <w:r>
        <w:rPr>
          <w:rFonts w:ascii="Times New Roman" w:hAnsi="Times New Roman" w:eastAsia="Times New Roman"/>
          <w:color w:val="000000"/>
          <w:sz w:val="24"/>
        </w:rPr>
        <w:t xml:space="preserve"> (difficult/painful), </w:t>
      </w:r>
      <w:r>
        <w:rPr>
          <w:rFonts w:ascii="Times New Roman" w:hAnsi="Times New Roman" w:eastAsia="Times New Roman"/>
          <w:i/>
          <w:color w:val="000000"/>
          <w:sz w:val="24"/>
        </w:rPr>
        <w:t>meno</w:t>
      </w:r>
      <w:r>
        <w:rPr>
          <w:rFonts w:ascii="Times New Roman" w:hAnsi="Times New Roman" w:eastAsia="Times New Roman"/>
          <w:color w:val="000000"/>
          <w:sz w:val="24"/>
        </w:rPr>
        <w:t xml:space="preserve"> (month), and </w:t>
      </w:r>
      <w:r>
        <w:rPr>
          <w:rFonts w:ascii="Times New Roman" w:hAnsi="Times New Roman" w:eastAsia="Times New Roman"/>
          <w:i/>
          <w:color w:val="000000"/>
          <w:sz w:val="24"/>
        </w:rPr>
        <w:t>rrhea</w:t>
      </w:r>
      <w:r>
        <w:rPr>
          <w:rFonts w:ascii="Times New Roman" w:hAnsi="Times New Roman" w:eastAsia="Times New Roman"/>
          <w:color w:val="000000"/>
          <w:sz w:val="24"/>
        </w:rPr>
        <w:t xml:space="preserve"> (flow), is clinically defined as painful menstrual cramps of uterine origin. It represents one of the most prevalent and functionally debilitating gynecological disorders among women of reproductive age worldwide. Clinicians broadly classify this condition into two distinct pathophysiological categories: primary dysmenorrhea and secondary dysmenorrhea (Ferries-Rowe et al., 2020). Primary dysmenorrhea involves severe pelvic pain that manifests in the absolute absence of any identifiable pathological condition or macroscopic structural abnormality within the pelvis. Secondary dysmenorrhea, by contrast, describes pain directly attributable to underlying structural pelvic diseases, such as endometriosis, adenomyosis, uterine fibroids, or pelvic inflammatory disease (Iacovides et al., 2015).</w:t>
      </w:r>
    </w:p>
    <w:p>
      <w:pPr>
        <w:spacing w:line="360" w:lineRule="auto" w:after="0"/>
        <w:jc w:val="left"/>
      </w:pPr>
      <w:r>
        <w:rPr>
          <w:rFonts w:ascii="Times New Roman" w:hAnsi="Times New Roman" w:eastAsia="Times New Roman"/>
          <w:color w:val="000000"/>
          <w:sz w:val="24"/>
        </w:rPr>
        <w:t>Primary dysmenorrhea typically begins within the first few years following menarche, usually coinciding with the establishment of ovulatory menstrual cycles. The clinical presentation is highly stereotyped yet intensely severe: it presents as acute, cramping, colicky lower abdominal pain that frequently radiates to the lower back, lumbosacral region, and anterior thighs. This localized pelvic pain rarely occurs in isolation; it is overwhelmingly accompanied by a constellation of systemic symptoms including severe nausea, vomiting, profound fatigue, diarrhea, diaphoresis, and headache (Burnett &amp; Lemyre, 2017). These systemic manifestations collectively impair the individual's functional capacity, often forcing women to miss school or work. The onset of this pain usually strictly coincides with the initiation of menstruation, beginning a few hours before or immediately after menstrual bleeding starts, and it generally persists for a duration of 24 to 72 hours, perfectly tracking the period of maximal prostaglandin release (Dawood, 2006).</w:t>
      </w:r>
    </w:p>
    <w:p>
      <w:pPr>
        <w:pStyle w:val="Heading3"/>
        <w:jc w:val="left"/>
      </w:pPr>
      <w:r>
        <w:rPr>
          <w:rFonts w:ascii="Times New Roman" w:hAnsi="Times New Roman" w:eastAsia="Times New Roman"/>
          <w:color w:val="000000"/>
          <w:sz w:val="24"/>
        </w:rPr>
        <w:t>1.1.2 Diagnostic Differentiation and Evaluation</w:t>
      </w:r>
    </w:p>
    <w:p>
      <w:pPr>
        <w:spacing w:line="360" w:lineRule="auto" w:after="0"/>
        <w:jc w:val="left"/>
      </w:pPr>
      <w:r>
        <w:rPr>
          <w:rFonts w:ascii="Times New Roman" w:hAnsi="Times New Roman" w:eastAsia="Times New Roman"/>
          <w:color w:val="000000"/>
          <w:sz w:val="24"/>
        </w:rPr>
        <w:t>The accurate diagnosis of primary dysmenorrhea rests heavily on a comprehensive clinical history and the explicit exclusion of pelvic pathology. Women presenting with a typical history—cramping pain initiating just prior to or with menses and lasting for 2-3 days—often do not require extensive laboratory or radiological evaluation initially, provided their pelvic examination is entirely normal (Itriyeva, 2022). However, the clinical overlap between primary and secondary dysmenorrhea, particularly endometriosis, demands high clinical vigilance. Clinicians must actively search for "red flag" symptoms that suggest secondary dysmenorrhea: pain that progressively worsens over time, pain that extends beyond the menstrual phase into the follicular or luteal phases, abnormal uterine bleeding, dyspareunia, or a distinct lack of response to first-line pharmacotherapy such as nonsteroidal anti-inflammatory drugs (NSAIDs) (Smith et al., 2024).</w:t>
      </w:r>
    </w:p>
    <w:p>
      <w:pPr>
        <w:spacing w:line="360" w:lineRule="auto" w:after="0"/>
        <w:jc w:val="left"/>
      </w:pPr>
      <w:r>
        <w:rPr>
          <w:rFonts w:ascii="Times New Roman" w:hAnsi="Times New Roman" w:eastAsia="Times New Roman"/>
          <w:color w:val="000000"/>
          <w:sz w:val="24"/>
        </w:rPr>
        <w:t>The initial evaluation logically involves a targeted pelvic examination to assess for uterine enlargement, adnexal masses, or cervical motion tenderness. In cases where secondary dysmenorrhea is strongly suspected, or when empiric therapy unequivocally fails, pelvic ultrasonography serves as the primary imaging modality of choice to evaluate the pelvic organs for structural anomalies (Itriyeva, 2022). Only when structural anomalies are ruled out can a definitive diagnosis of primary dysmenorrhea be established and confidently managed.</w:t>
      </w:r>
    </w:p>
    <w:p>
      <w:pPr>
        <w:pStyle w:val="Heading3"/>
        <w:jc w:val="left"/>
      </w:pPr>
      <w:r>
        <w:rPr>
          <w:rFonts w:ascii="Times New Roman" w:hAnsi="Times New Roman" w:eastAsia="Times New Roman"/>
          <w:color w:val="000000"/>
          <w:sz w:val="24"/>
        </w:rPr>
        <w:t>1.1.3 Expanding the Pathophysiological Framework</w:t>
      </w:r>
    </w:p>
    <w:p>
      <w:pPr>
        <w:spacing w:line="360" w:lineRule="auto" w:after="0"/>
        <w:jc w:val="left"/>
      </w:pPr>
      <w:r>
        <w:rPr>
          <w:rFonts w:ascii="Times New Roman" w:hAnsi="Times New Roman" w:eastAsia="Times New Roman"/>
          <w:color w:val="000000"/>
          <w:sz w:val="24"/>
        </w:rPr>
        <w:t xml:space="preserve">While the hypersecretion of prostaglandins (specifically PGF2α and PGE2) forms the central tenet of primary dysmenorrhea pathophysiology, contemporary research has vastly expanded our understanding of the underlying mechanisms. Prostaglandin F2-alpha acts as a potent myometrial stimulant and vasoconstrictor. Its elevated levels trigger uterine hypercontractility, characterized by high-amplitude and high-frequency contractions that drastically increase intrauterine pressure to levels exceeding 60 mmHg, effectively collapsing the uterine microvasculature (Akerlund, 1979; Smith et al., 2024). This intense contractile activity leads directly to uterine ischemia and profound hypoxia, culminating in acute cramping pain. </w:t>
      </w:r>
    </w:p>
    <w:p>
      <w:pPr>
        <w:spacing w:line="360" w:lineRule="auto" w:after="0"/>
        <w:jc w:val="left"/>
      </w:pPr>
      <w:r>
        <w:rPr>
          <w:rFonts w:ascii="Times New Roman" w:hAnsi="Times New Roman" w:eastAsia="Times New Roman"/>
          <w:color w:val="000000"/>
          <w:sz w:val="24"/>
        </w:rPr>
        <w:t>However, recent investigations highlight the significant involvement of neurohypophyseal hormones and oxidative stress. Vasopressin and oxytocin critically modulate uterine contractility. Vasopressin, in particular, demonstrates marked uterotonic properties and exacerbates myometrial hyperactivity and ischemia, with elevated circulating levels frequently detected in women experiencing severe primary dysmenorrhea (Fuchs et al., 2002). Furthermore, researchers have recently elucidated the role of systemic oxidative stress in this condition. A systematic review by Szydłowska et al. (2020) demonstrated definitively that women with primary dysmenorrhea exhibit significantly elevated markers of lipid peroxidation and a concomitant depletion of antioxidant reserves compared to asymptomatic controls. The accumulation of reactive oxygen species (ROS) in the pelvic cavity further sensitizes peripheral nociceptors and exacerbates the local inflammatory response driven by the cyclooxygenase pathway.</w:t>
      </w:r>
    </w:p>
    <w:p>
      <w:pPr>
        <w:pStyle w:val="Heading3"/>
        <w:jc w:val="left"/>
      </w:pPr>
      <w:r>
        <w:rPr>
          <w:rFonts w:ascii="Times New Roman" w:hAnsi="Times New Roman" w:eastAsia="Times New Roman"/>
          <w:color w:val="000000"/>
          <w:sz w:val="24"/>
        </w:rPr>
        <w:t>1.1.4 Risk Factors and Systemic Impact</w:t>
      </w:r>
    </w:p>
    <w:p>
      <w:pPr>
        <w:spacing w:line="360" w:lineRule="auto" w:after="0"/>
        <w:jc w:val="left"/>
      </w:pPr>
      <w:r>
        <w:rPr>
          <w:rFonts w:ascii="Times New Roman" w:hAnsi="Times New Roman" w:eastAsia="Times New Roman"/>
          <w:color w:val="000000"/>
          <w:sz w:val="24"/>
        </w:rPr>
        <w:t>The development and severity of primary dysmenorrhea do not occur uniformly across the population; specific demographic and lifestyle factors heavily influence its clinical trajectory. A massive meta-analysis comprising over 78,000 university students globally confirmed that low body mass index (BMI), early menarche (onset before age 12), prolonged menstrual flow, and a positive family history represent the most significant independent predictors of severe dysmenorrhea (Li et al., 2022). Furthermore, lifestyle variables, including cigarette smoking and highly stressful academic or psychosocial environments, directly correlate with increased pain severity and duration.</w:t>
      </w:r>
    </w:p>
    <w:p>
      <w:pPr>
        <w:spacing w:line="360" w:lineRule="auto" w:after="0"/>
        <w:jc w:val="left"/>
      </w:pPr>
      <w:r>
        <w:rPr>
          <w:rFonts w:ascii="Times New Roman" w:hAnsi="Times New Roman" w:eastAsia="Times New Roman"/>
          <w:color w:val="000000"/>
          <w:sz w:val="24"/>
        </w:rPr>
        <w:t>The systemic impact of this condition extends far beyond transient physical discomfort. Chronic, unmanaged primary dysmenorrhea profoundly alters central pain processing, leading to heightened central sensitization and a significantly lowered pain threshold even outside of the menstrual phase (Iacovides et al., 2015). This persistent pain burden directly precipitates psychological sequelae; longitudinal studies consistently demonstrate that adolescents and young women suffering from severe primary dysmenorrhea exhibit substantially higher rates of clinical anxiety, depression, and generalized sleep disturbances compared to their pain-free peers. The cyclical nature of the pain creates a persistent anticipatory anxiety that further degrades overall quality of life, necessitating exhaustive, multifaceted management strategies that address both the physiological mechanisms and the psychological burden of the disease.</w:t>
      </w:r>
    </w:p>
    <w:p>
      <w:pPr>
        <w:pStyle w:val="Heading2"/>
        <w:jc w:val="left"/>
      </w:pPr>
      <w:r>
        <w:rPr>
          <w:rFonts w:ascii="Times New Roman" w:hAnsi="Times New Roman" w:eastAsia="Times New Roman"/>
          <w:color w:val="000000"/>
          <w:sz w:val="24"/>
        </w:rPr>
        <w:t>1.2 Epidemiology and Global Burden of Primary Dysmenorrhea</w:t>
      </w:r>
    </w:p>
    <w:p>
      <w:pPr>
        <w:pStyle w:val="Heading3"/>
        <w:jc w:val="left"/>
      </w:pPr>
      <w:r>
        <w:rPr>
          <w:rFonts w:ascii="Times New Roman" w:hAnsi="Times New Roman" w:eastAsia="Times New Roman"/>
          <w:color w:val="000000"/>
          <w:sz w:val="24"/>
        </w:rPr>
        <w:t>1.2.1 Global Prevalence and Demographic Variations</w:t>
      </w:r>
    </w:p>
    <w:p>
      <w:pPr>
        <w:spacing w:line="360" w:lineRule="auto" w:after="0"/>
        <w:jc w:val="left"/>
      </w:pPr>
      <w:r>
        <w:rPr>
          <w:rFonts w:ascii="Times New Roman" w:hAnsi="Times New Roman" w:eastAsia="Times New Roman"/>
          <w:color w:val="000000"/>
          <w:sz w:val="24"/>
        </w:rPr>
        <w:t xml:space="preserve">Primary dysmenorrhea represents the most ubiquitous gynecological complaint among women of reproductive age worldwide, yet its true prevalence remains notoriously difficult to ascertain with absolute precision. This difficulty stems primarily from significant methodological heterogeneity across epidemiological studies, varying definitions of dysmenorrhea, and the pervasive cultural normalization of menstrual pain, which frequently deters women from seeking formal medical evaluation. Consequently, reported global prevalence rates exhibit remarkable variance, ranging anywhere from 16% to a staggering 93% across different demographic cohorts and geographic regions (Ju et al., 2014). </w:t>
      </w:r>
    </w:p>
    <w:p>
      <w:pPr>
        <w:spacing w:line="360" w:lineRule="auto" w:after="0"/>
        <w:jc w:val="left"/>
      </w:pPr>
      <w:r>
        <w:rPr>
          <w:rFonts w:ascii="Times New Roman" w:hAnsi="Times New Roman" w:eastAsia="Times New Roman"/>
          <w:color w:val="000000"/>
          <w:sz w:val="24"/>
        </w:rPr>
        <w:t>Despite this variance, robust systematic reviews and meta-analyses consistently underscore the massive scale of the condition. De Sanctis et al. (2015) highlighted that dysmenorrhea disproportionately affects adolescents and young adults, with prevalence rates in adolescent populations frequently exceeding 70%. In a comprehensive meta-analysis evaluating female college students, Li et al. (2022) reported a pooled prevalence that corroborates these high estimates, establishing primary dysmenorrhea not merely as a common occurrence, but as a ubiquitous physiological challenge that defines the early reproductive years for the vast majority of women. The epidemiological curve of primary dysmenorrhea typically peaks in late adolescence and the early twenties, coinciding perfectly with the establishment of regular ovulatory cycles and the consequent maximal synthesis of endometrial prostaglandins, before gradually declining in severity following childbirth or advancing age (Dawood, 2006).</w:t>
      </w:r>
    </w:p>
    <w:p>
      <w:pPr>
        <w:pStyle w:val="Heading3"/>
        <w:jc w:val="left"/>
      </w:pPr>
      <w:r>
        <w:rPr>
          <w:rFonts w:ascii="Times New Roman" w:hAnsi="Times New Roman" w:eastAsia="Times New Roman"/>
          <w:color w:val="000000"/>
          <w:sz w:val="24"/>
        </w:rPr>
        <w:t>1.2.2 Prevalence and Epidemiological Dynamics in African and Nigerian Cohorts</w:t>
      </w:r>
    </w:p>
    <w:p>
      <w:pPr>
        <w:spacing w:line="360" w:lineRule="auto" w:after="0"/>
        <w:jc w:val="left"/>
      </w:pPr>
      <w:r>
        <w:rPr>
          <w:rFonts w:ascii="Times New Roman" w:hAnsi="Times New Roman" w:eastAsia="Times New Roman"/>
          <w:color w:val="000000"/>
          <w:sz w:val="24"/>
        </w:rPr>
        <w:t>Within the African continent, and specifically within Nigeria, the epidemiological landscape of primary dysmenorrhea mirrors the high end of global estimates, exacerbated by specific socio-demographic factors and healthcare access limitations. Studies conducted across various Nigerian academic institutions consistently report alarmingly high prevalence rates. For instance, Nwankwo et al. (2010), in a study evaluating menstrual disorders among adolescent schoolgirls in Enugu, Nigeria, found dysmenorrhea to be the most prevalent menstrual abnormality. This finding was further validated a decade later by Nwankwo et al. (2021), who documented a similarly high prevalence among Nigerian university students, highlighting a persistent burden that spans secondary to tertiary educational levels.</w:t>
      </w:r>
    </w:p>
    <w:p>
      <w:pPr>
        <w:spacing w:line="360" w:lineRule="auto" w:after="0"/>
        <w:jc w:val="left"/>
      </w:pPr>
      <w:r>
        <w:rPr>
          <w:rFonts w:ascii="Times New Roman" w:hAnsi="Times New Roman" w:eastAsia="Times New Roman"/>
          <w:color w:val="000000"/>
          <w:sz w:val="24"/>
        </w:rPr>
        <w:t>The data from Nigeria aligns with broader regional trends in West Africa. Ameade et al. (2018), investigating university students in Northern Ghana, reported a prevalence rate exceeding 80%, demonstrating that the overwhelming majority of young women in this demographic endure significant menstrual pain. Furthermore, a critical review by Oladosu &amp; Ogunlana (2022) synthesized the epidemiology among Nigerian women, emphasizing that the burden is not merely statistical but profoundly impactful on daily functioning. In many Nigerian cohorts, cultural reticence often suppresses open discussion regarding menstrual health, leading to widespread self-management using over-the-counter analgesics, often without professional medical guidance. Ezebialu et al. (2021) further documented that this high prevalence directly translates into significant school and university absenteeism, painting a stark picture of a condition that actively impedes the educational and professional progression of young Nigerian women.</w:t>
      </w:r>
    </w:p>
    <w:p>
      <w:pPr>
        <w:pStyle w:val="Heading3"/>
        <w:jc w:val="left"/>
      </w:pPr>
      <w:r>
        <w:rPr>
          <w:rFonts w:ascii="Times New Roman" w:hAnsi="Times New Roman" w:eastAsia="Times New Roman"/>
          <w:color w:val="000000"/>
          <w:sz w:val="24"/>
        </w:rPr>
        <w:t>1.2.3 Risk Factors and Determinants</w:t>
      </w:r>
    </w:p>
    <w:p>
      <w:pPr>
        <w:spacing w:line="360" w:lineRule="auto" w:after="0"/>
        <w:jc w:val="left"/>
      </w:pPr>
      <w:r>
        <w:rPr>
          <w:rFonts w:ascii="Times New Roman" w:hAnsi="Times New Roman" w:eastAsia="Times New Roman"/>
          <w:color w:val="000000"/>
          <w:sz w:val="24"/>
        </w:rPr>
        <w:t xml:space="preserve">The etiology of primary dysmenorrhea, while fundamentally rooted in prostaglandin overproduction, is significantly modulated by a complex interplay of physiological, lifestyle, and psychosocial risk factors. Establishing these determinants is crucial for understanding the epidemiological distribution and identifying high-risk populations. </w:t>
      </w:r>
    </w:p>
    <w:p>
      <w:pPr>
        <w:spacing w:line="360" w:lineRule="auto" w:after="0"/>
        <w:jc w:val="left"/>
      </w:pPr>
      <w:r>
        <w:rPr>
          <w:rFonts w:ascii="Times New Roman" w:hAnsi="Times New Roman" w:eastAsia="Times New Roman"/>
          <w:color w:val="000000"/>
          <w:sz w:val="24"/>
        </w:rPr>
        <w:t>Prominent physiological risk factors consistently identified across literature include an early age at menarche (typically defined as before 12 years of age), nulliparity, and a positive family history of dysmenorrhea (Ju et al., 2014). Early menarche extends the duration of estrogen exposure and establishes ovulatory cycles sooner, thereby initiating the physiological mechanisms of dysmenorrhea at a younger age. A strong familial predisposition suggests a significant genetic or epigenetic component influencing prostaglandin synthesis pathways or pain perception thresholds (Rashidi &amp; Rahimikian, 2022). Furthermore, menstrual characteristics such as heavy menstrual bleeding (menorrhagia) and extended menstrual cycle length are strongly correlated with increased pain severity, likely due to a greater volume of endometrial tissue shedding and a proportionally higher release of inflammatory mediators (Li et al., 2022).</w:t>
      </w:r>
    </w:p>
    <w:p>
      <w:pPr>
        <w:spacing w:line="360" w:lineRule="auto" w:after="0"/>
        <w:jc w:val="left"/>
      </w:pPr>
      <w:r>
        <w:rPr>
          <w:rFonts w:ascii="Times New Roman" w:hAnsi="Times New Roman" w:eastAsia="Times New Roman"/>
          <w:color w:val="000000"/>
          <w:sz w:val="24"/>
        </w:rPr>
        <w:t>Lifestyle and psychosocial determinants also exert a profound influence. Smoking has been definitively linked to increased severity and duration of primary dysmenorrhea, primarily because nicotine induces systemic vasoconstriction, potentially exacerbating the ischemia already present in the myometrium (Ju et al., 2014). Additionally, high levels of psychological stress, anxiety, and depressive symptoms are consistently associated with exacerbated pain perception. Stress operates by altering neuroendocrine function, potentially amplifying the inflammatory cascade or lowering the pain threshold, thereby transforming manageable physiological cramping into debilitating pain.</w:t>
      </w:r>
    </w:p>
    <w:p>
      <w:pPr>
        <w:pStyle w:val="Heading3"/>
        <w:jc w:val="left"/>
      </w:pPr>
      <w:r>
        <w:rPr>
          <w:rFonts w:ascii="Times New Roman" w:hAnsi="Times New Roman" w:eastAsia="Times New Roman"/>
          <w:color w:val="000000"/>
          <w:sz w:val="24"/>
        </w:rPr>
        <w:t>1.2.4 Socioeconomic Burden and Quality of Life Impairment</w:t>
      </w:r>
    </w:p>
    <w:p>
      <w:pPr>
        <w:spacing w:line="360" w:lineRule="auto" w:after="0"/>
        <w:jc w:val="left"/>
      </w:pPr>
      <w:r>
        <w:rPr>
          <w:rFonts w:ascii="Times New Roman" w:hAnsi="Times New Roman" w:eastAsia="Times New Roman"/>
          <w:color w:val="000000"/>
          <w:sz w:val="24"/>
        </w:rPr>
        <w:t xml:space="preserve">The true impact of primary dysmenorrhea extends far beyond the acute physiological pain experienced during menstruation; it imposes a staggering socioeconomic burden and inflicts profound impairment on the health-related quality of life (HRQoL) of affected individuals. Primary dysmenorrhea is routinely identified as the leading cause of recurrent short-term school and work absenteeism among young women globally. </w:t>
      </w:r>
    </w:p>
    <w:p>
      <w:pPr>
        <w:spacing w:line="360" w:lineRule="auto" w:after="0"/>
        <w:jc w:val="left"/>
      </w:pPr>
      <w:r>
        <w:rPr>
          <w:rFonts w:ascii="Times New Roman" w:hAnsi="Times New Roman" w:eastAsia="Times New Roman"/>
          <w:color w:val="000000"/>
          <w:sz w:val="24"/>
        </w:rPr>
        <w:t>In academic settings, the consequences are particularly detrimental. Studies consistently demonstrate that women suffering from moderate to severe primary dysmenorrhea report significantly reduced academic performance, diminished concentration in lectures, and decreased participation in extracurricular activities. Ezebialu et al. (2021) highlighted that among Nigerian undergraduates, dysmenorrhea is a primary driver of missed classes and delayed academic progression. The phenomenon of "presenteeism"—where women attend school or work but function at a drastically reduced capacity due to pain and associated systemic symptoms (nausea, fatigue, headache)—further compounds the hidden economic toll.</w:t>
      </w:r>
    </w:p>
    <w:p>
      <w:pPr>
        <w:spacing w:line="360" w:lineRule="auto" w:after="0"/>
        <w:jc w:val="left"/>
      </w:pPr>
      <w:r>
        <w:rPr>
          <w:rFonts w:ascii="Times New Roman" w:hAnsi="Times New Roman" w:eastAsia="Times New Roman"/>
          <w:color w:val="000000"/>
          <w:sz w:val="24"/>
        </w:rPr>
        <w:t>Beyond educational and occupational disruption, the recurrent nature of the pain severely restricts social interactions and physical activities, leading to a diminished overall quality of life. The psychological anticipation of debilitating pain each month can induce significant anxiety, further deteriorating mental well-being (Iacovides et al., 2015). Despite this massive, recurrent disruption to the lives of millions of women, primary dysmenorrhea remains systematically under-researched and frequently dismissed in clinical settings as a "normal" part of womanhood, highlighting an urgent need for more effective, accessible, and scientifically validated therapeutic interventions.</w:t>
      </w:r>
    </w:p>
    <w:p>
      <w:pPr>
        <w:pStyle w:val="Heading2"/>
        <w:jc w:val="left"/>
      </w:pPr>
      <w:r>
        <w:rPr>
          <w:rFonts w:ascii="Times New Roman" w:hAnsi="Times New Roman" w:eastAsia="Times New Roman"/>
          <w:color w:val="000000"/>
          <w:sz w:val="24"/>
        </w:rPr>
        <w:t>1.3 Pathophysiology of Primary Dysmenorrhea</w:t>
      </w:r>
    </w:p>
    <w:p>
      <w:pPr>
        <w:pStyle w:val="Heading3"/>
        <w:jc w:val="left"/>
      </w:pPr>
      <w:r>
        <w:rPr>
          <w:rFonts w:ascii="Times New Roman" w:hAnsi="Times New Roman" w:eastAsia="Times New Roman"/>
          <w:color w:val="000000"/>
          <w:sz w:val="24"/>
        </w:rPr>
        <w:t>1.3.1 The Arachidonic Acid Cascade and Prostaglandin Hypersecretion</w:t>
      </w:r>
    </w:p>
    <w:p>
      <w:pPr>
        <w:spacing w:line="360" w:lineRule="auto" w:after="0"/>
        <w:jc w:val="left"/>
      </w:pPr>
      <w:r>
        <w:rPr>
          <w:rFonts w:ascii="Times New Roman" w:hAnsi="Times New Roman" w:eastAsia="Times New Roman"/>
          <w:color w:val="000000"/>
          <w:sz w:val="24"/>
        </w:rPr>
        <w:t xml:space="preserve">The foundational understanding of primary dysmenorrhea pathophysiology centers unequivocally on the overproduction and hypersecretion of endometrial prostaglandins, a paradigm initially conceptualized in the 1960s and robustly validated over the subsequent decades. Prostaglandins are potent lipid autacoids derived from arachidonic acid, a 20-carbon polyunsaturated fatty acid that resides extensively in the phospholipid bilayer of cell membranes (Pahwa &amp; Jialal, 2021). </w:t>
      </w:r>
    </w:p>
    <w:p>
      <w:pPr>
        <w:spacing w:line="360" w:lineRule="auto" w:after="0"/>
        <w:jc w:val="left"/>
      </w:pPr>
      <w:r>
        <w:rPr>
          <w:rFonts w:ascii="Times New Roman" w:hAnsi="Times New Roman" w:eastAsia="Times New Roman"/>
          <w:color w:val="000000"/>
          <w:sz w:val="24"/>
        </w:rPr>
        <w:t xml:space="preserve">During the luteal phase of the menstrual cycle, the steady decline in progesterone levels—precipitated by the involution of the corpus luteum—triggers a cascade of biochemical events within the endometrium. This progesterone withdrawal destabilizes lysosomal membranes within endometrial cells, leading to the rapid release of the enzyme phospholipase A2 (PLA2). Phospholipase A2 subsequently hydrolyzes the membrane phospholipids, liberating massive quantities of free arachidonic acid into the cellular milieu (Dawood, 2006). </w:t>
      </w:r>
    </w:p>
    <w:p>
      <w:pPr>
        <w:spacing w:line="360" w:lineRule="auto" w:after="0"/>
        <w:jc w:val="left"/>
      </w:pPr>
      <w:r>
        <w:rPr>
          <w:rFonts w:ascii="Times New Roman" w:hAnsi="Times New Roman" w:eastAsia="Times New Roman"/>
          <w:color w:val="000000"/>
          <w:sz w:val="24"/>
        </w:rPr>
        <w:t>Once liberated, arachidonic acid becomes the primary substrate for the cyclooxygenase (COX) enzyme pathway. The COX enzymes rapidly convert arachidonic acid into unstable cyclic endoperoxides (PGG2 and PGH2), which are then isomerized by specific terminal synthases into an array of bioactive prostaglandins, most notably Prostaglandin F2-alpha (PGF2α) and Prostaglandin E2 (PGE2) (Smith et al., 2000). In women with primary dysmenorrhea, the concentration of these prostaglandins in menstrual fluid and endometrial tissue is exponentially higher than in eumenorrheic women. PGF2α, in particular, has been identified as the primary culprit; it is a profound stimulator of myometrial smooth muscle contraction and a potent vasoconstrictor of the uterine spiral arterioles (Iacovides et al., 2015).</w:t>
      </w:r>
    </w:p>
    <w:p>
      <w:pPr>
        <w:pStyle w:val="Heading3"/>
        <w:jc w:val="left"/>
      </w:pPr>
      <w:r>
        <w:rPr>
          <w:rFonts w:ascii="Times New Roman" w:hAnsi="Times New Roman" w:eastAsia="Times New Roman"/>
          <w:color w:val="000000"/>
          <w:sz w:val="24"/>
        </w:rPr>
        <w:t>1.3.2 Myometrial Hypercontractility, Uterine Ischemia, and Hypoxia</w:t>
      </w:r>
    </w:p>
    <w:p>
      <w:pPr>
        <w:spacing w:line="360" w:lineRule="auto" w:after="0"/>
        <w:jc w:val="left"/>
      </w:pPr>
      <w:r>
        <w:rPr>
          <w:rFonts w:ascii="Times New Roman" w:hAnsi="Times New Roman" w:eastAsia="Times New Roman"/>
          <w:color w:val="000000"/>
          <w:sz w:val="24"/>
        </w:rPr>
        <w:t>The profound consequence of this massive PGF2α influx is a drastic alteration in the contractile dynamics of the myometrium. Under normal physiological conditions during menstruation, the uterus undergoes mild, coordinated contractions designed to facilitate the expulsion of desquamated endometrial tissue and menstrual blood. However, in the dysmenorrheic uterus, the excessive PGF2α binding to specific G-protein coupled receptors on the myometrial cell surface triggers an overwhelming influx of extracellular calcium and the release of intracellular calcium stores (Raskin &amp; O'Brien, 2022).</w:t>
      </w:r>
    </w:p>
    <w:p>
      <w:pPr>
        <w:spacing w:line="360" w:lineRule="auto" w:after="0"/>
        <w:jc w:val="left"/>
      </w:pPr>
      <w:r>
        <w:rPr>
          <w:rFonts w:ascii="Times New Roman" w:hAnsi="Times New Roman" w:eastAsia="Times New Roman"/>
          <w:color w:val="000000"/>
          <w:sz w:val="24"/>
        </w:rPr>
        <w:t>This calcium surge induces myometrial hypercontractility, characterized by an abnormal resting tone (basal tonus), high-amplitude contractions (often exceeding 150 mmHg), and a high frequency of contractile waves (dysrhythmia) (Akerlund, 1979). The elevated resting tone is particularly deleterious, as it prevents the necessary relaxation phase between contractions. This relentless hypercontractility mechanically compresses the uterine vasculature, particularly the spiral arterioles that supply the endometrium and myometrium.</w:t>
      </w:r>
    </w:p>
    <w:p>
      <w:pPr>
        <w:spacing w:line="360" w:lineRule="auto" w:after="0"/>
        <w:jc w:val="left"/>
      </w:pPr>
      <w:r>
        <w:rPr>
          <w:rFonts w:ascii="Times New Roman" w:hAnsi="Times New Roman" w:eastAsia="Times New Roman"/>
          <w:color w:val="000000"/>
          <w:sz w:val="24"/>
        </w:rPr>
        <w:t>The intense vasoconstriction induced directly by PGF2α, combined with the mechanical compression from the hypercontractile myometrium, leads to a precipitous drop in uterine blood flow (Su &amp; Chen, 2022). This severe reduction in perfusion rapidly plunges the uterine tissue into a state of acute ischemia and profound hypoxia. It is this hypoxic state that triggers the release of anaerobic metabolites, including lactic acid and other noxious mediators, which subsequently stimulate type C pain fibers (afferent nociceptors) located in the pelvic region, culminating in the severe, cramping pelvic pain characteristic of primary dysmenorrhea (Lee &amp; Park, 2022).</w:t>
      </w:r>
    </w:p>
    <w:p>
      <w:pPr>
        <w:pStyle w:val="Heading3"/>
        <w:jc w:val="left"/>
      </w:pPr>
      <w:r>
        <w:rPr>
          <w:rFonts w:ascii="Times New Roman" w:hAnsi="Times New Roman" w:eastAsia="Times New Roman"/>
          <w:color w:val="000000"/>
          <w:sz w:val="24"/>
        </w:rPr>
        <w:t>1.3.3 The Cyclooxygenase (COX) Isoenzymes: COX-1 and COX-2</w:t>
      </w:r>
    </w:p>
    <w:p>
      <w:pPr>
        <w:spacing w:line="360" w:lineRule="auto" w:after="0"/>
        <w:jc w:val="left"/>
      </w:pPr>
      <w:r>
        <w:rPr>
          <w:rFonts w:ascii="Times New Roman" w:hAnsi="Times New Roman" w:eastAsia="Times New Roman"/>
          <w:color w:val="000000"/>
          <w:sz w:val="24"/>
        </w:rPr>
        <w:t>A deeper mechanistic understanding of this prostaglandin storm requires delineating the roles of the two primary cyclooxygenase isoenzymes: COX-1 and COX-2. COX-1 is a constitutively expressed enzyme present in most tissues, responsible for maintaining physiological homeostasis, including gastric mucosal protection, renal blood flow regulation, and platelet aggregation (Vane et al., 1998). Conversely, COX-2 is primarily an inducible enzyme; its expression is rapidly upregulated at sites of inflammation or tissue trauma in response to various pro-inflammatory cytokines, growth factors, and, notably, the declining progesterone levels characteristic of the late luteal phase (Rouzer &amp; Marnett, 2009).</w:t>
      </w:r>
    </w:p>
    <w:p>
      <w:pPr>
        <w:spacing w:line="360" w:lineRule="auto" w:after="0"/>
        <w:jc w:val="left"/>
      </w:pPr>
      <w:r>
        <w:rPr>
          <w:rFonts w:ascii="Times New Roman" w:hAnsi="Times New Roman" w:eastAsia="Times New Roman"/>
          <w:color w:val="000000"/>
          <w:sz w:val="24"/>
        </w:rPr>
        <w:t>In the context of primary dysmenorrhea, COX-2 plays the dominant pathophysiological role. The abrupt progesterone withdrawal dramatically upregulates COX-2 expression within the endometrium, supercharging the conversion of arachidonic acid into PGF2α and PGE2 (Wan &amp; Yao, 2021). While COX-1 contributes to the baseline levels of prostaglandins, the massive, pathological surge that initiates the dysmenorrheic cascade is overwhelmingly driven by the hyperactive COX-2 pathway (He et al., 2022). This distinction is highly clinically relevant, as it forms the pharmacological basis for utilizing Nonsteroidal Anti-inflammatory Drugs (NSAIDs), which act by inhibiting these COX enzymes, thereby halting the pathological prostaglandin synthesis at its source (Tang &amp; Wang, 2023).</w:t>
      </w:r>
    </w:p>
    <w:p>
      <w:pPr>
        <w:pStyle w:val="Heading3"/>
        <w:jc w:val="left"/>
      </w:pPr>
      <w:r>
        <w:rPr>
          <w:rFonts w:ascii="Times New Roman" w:hAnsi="Times New Roman" w:eastAsia="Times New Roman"/>
          <w:color w:val="000000"/>
          <w:sz w:val="24"/>
        </w:rPr>
        <w:t>1.3.4 The Emerging Role of Vasopressin and Oxytocin</w:t>
      </w:r>
    </w:p>
    <w:p>
      <w:pPr>
        <w:spacing w:line="360" w:lineRule="auto" w:after="0"/>
        <w:jc w:val="left"/>
      </w:pPr>
      <w:r>
        <w:rPr>
          <w:rFonts w:ascii="Times New Roman" w:hAnsi="Times New Roman" w:eastAsia="Times New Roman"/>
          <w:color w:val="000000"/>
          <w:sz w:val="24"/>
        </w:rPr>
        <w:t>While prostaglandins remain the central dogma, recent neuroendocrinological research has unveiled that the pathophysiology of primary dysmenorrhea is not exclusively a prostaglandin-mediated event. Significant evidence now implicates posterior pituitary hormones, specifically arginine vasopressin (AVP) and oxytocin (OT), as critical co-conspirators in inducing myometrial hypercontractility.</w:t>
      </w:r>
    </w:p>
    <w:p>
      <w:pPr>
        <w:spacing w:line="360" w:lineRule="auto" w:after="0"/>
        <w:jc w:val="left"/>
      </w:pPr>
      <w:r>
        <w:rPr>
          <w:rFonts w:ascii="Times New Roman" w:hAnsi="Times New Roman" w:eastAsia="Times New Roman"/>
          <w:color w:val="000000"/>
          <w:sz w:val="24"/>
        </w:rPr>
        <w:t xml:space="preserve">Vasopressin is a potent vasoconstrictor and a stimulator of uterine smooth muscle. Studies have consistently demonstrated that women suffering from severe primary dysmenorrhea exhibit significantly elevated circulating levels of vasopressin during menstruation compared to healthy controls (Strömberg et al., 1984). Furthermore, vasopressin can induce severe uterine dysrhythmia and ischemia independent of the prostaglandin pathway, acting directly on V1a receptors located on the myometrium. </w:t>
      </w:r>
    </w:p>
    <w:p>
      <w:pPr>
        <w:spacing w:line="360" w:lineRule="auto" w:after="0"/>
        <w:jc w:val="left"/>
      </w:pPr>
      <w:r>
        <w:rPr>
          <w:rFonts w:ascii="Times New Roman" w:hAnsi="Times New Roman" w:eastAsia="Times New Roman"/>
          <w:color w:val="000000"/>
          <w:sz w:val="24"/>
        </w:rPr>
        <w:t>Similarly, oxytocin, conventionally known for its role in parturition, is increasingly recognized for its contribution to menstrual cramping. The dysmenorrheic uterus shows an enhanced sensitivity to oxytocin, potentially due to an upregulation of oxytocin receptors in the myometrium immediately prior to menstruation (Liedman et al., 2008). Oxytocin directly stimulates myometrial contraction and concurrently stimulates the localized release of prostaglandins from the decidua and myometrium, creating a potent positive feedback loop that intensifies the contractile force (Fuchs et al., 2002). This complex interplay between the eicosanoid system (prostaglandins) and the neurohypophyseal system (vasopressin and oxytocin) underscores the multifactorial and highly complex nature of primary dysmenorrhea's pathogenesis, suggesting that single-target therapies may not be sufficient for all patients.</w:t>
      </w:r>
    </w:p>
    <w:p>
      <w:pPr>
        <w:pStyle w:val="Heading3"/>
        <w:jc w:val="left"/>
      </w:pPr>
      <w:r>
        <w:rPr>
          <w:rFonts w:ascii="Times New Roman" w:hAnsi="Times New Roman" w:eastAsia="Times New Roman"/>
          <w:color w:val="000000"/>
          <w:sz w:val="24"/>
        </w:rPr>
        <w:t>1.3.5 Inflammatory Mediators and Oxidative Stress</w:t>
      </w:r>
    </w:p>
    <w:p>
      <w:pPr>
        <w:spacing w:line="360" w:lineRule="auto" w:after="0"/>
        <w:jc w:val="left"/>
      </w:pPr>
      <w:r>
        <w:rPr>
          <w:rFonts w:ascii="Times New Roman" w:hAnsi="Times New Roman" w:eastAsia="Times New Roman"/>
          <w:color w:val="000000"/>
          <w:sz w:val="24"/>
        </w:rPr>
        <w:t>Beyond the immediate mechanics of contraction and ischemia, primary dysmenorrhea is increasingly recognized as a state of localized and potentially systemic inflammation. Prostaglandins, particularly PGE2, are classical inflammatory mediators that sensitize peripheral nociceptors to pain, effectively lowering the pain threshold and amplifying the perception of cramping (Pahwa &amp; Jialal, 2021).</w:t>
      </w:r>
    </w:p>
    <w:p>
      <w:pPr>
        <w:spacing w:line="360" w:lineRule="auto" w:after="0"/>
        <w:jc w:val="left"/>
      </w:pPr>
      <w:r>
        <w:rPr>
          <w:rFonts w:ascii="Times New Roman" w:hAnsi="Times New Roman" w:eastAsia="Times New Roman"/>
          <w:color w:val="000000"/>
          <w:sz w:val="24"/>
        </w:rPr>
        <w:t xml:space="preserve">Furthermore, the recurrent cycles of ischemia and reperfusion occurring within the uterus generate significant quantities of reactive oxygen species (ROS), leading to oxidative stress. A systematic review by Szydłowska et al. (2020) demonstrated that women with primary dysmenorrhea frequently exhibit disrupted antioxidant statuses and elevated markers of oxidative damage. This oxidative stress can directly damage cellular membranes, further activating phospholipase A2 and fueling a vicious cycle of sustained arachidonic acid release and prostaglandin synthesis (Barcikowska et al., 2020). Consequently, therapeutic interventions that possess not only smooth muscle relaxant properties but also potent antioxidant and anti-inflammatory capabilities—such as the bioactive compounds found in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(Clove)—present a highly logical and compelling multi-targeted approach to dismantling the complex pathophysiology of this disorder.</w:t>
      </w:r>
    </w:p>
    <w:p>
      <w:pPr>
        <w:pStyle w:val="Heading2"/>
        <w:jc w:val="left"/>
      </w:pPr>
      <w:r>
        <w:rPr>
          <w:rFonts w:ascii="Times New Roman" w:hAnsi="Times New Roman" w:eastAsia="Times New Roman"/>
          <w:color w:val="000000"/>
          <w:sz w:val="24"/>
        </w:rPr>
        <w:t>1.4 Current Pharmacological Management and its Limitations</w:t>
      </w:r>
    </w:p>
    <w:p>
      <w:pPr>
        <w:pStyle w:val="Heading3"/>
        <w:jc w:val="left"/>
      </w:pPr>
      <w:r>
        <w:rPr>
          <w:rFonts w:ascii="Times New Roman" w:hAnsi="Times New Roman" w:eastAsia="Times New Roman"/>
          <w:color w:val="000000"/>
          <w:sz w:val="24"/>
        </w:rPr>
        <w:t>1.4.1 First-Line Therapy: Nonsteroidal Anti-inflammatory Drugs (NSAIDs)</w:t>
      </w:r>
    </w:p>
    <w:p>
      <w:pPr>
        <w:spacing w:line="360" w:lineRule="auto" w:after="0"/>
        <w:jc w:val="left"/>
      </w:pPr>
      <w:r>
        <w:rPr>
          <w:rFonts w:ascii="Times New Roman" w:hAnsi="Times New Roman" w:eastAsia="Times New Roman"/>
          <w:color w:val="000000"/>
          <w:sz w:val="24"/>
        </w:rPr>
        <w:t xml:space="preserve">The current bedrock of pharmacological intervention for primary dysmenorrhea fundamentally relies on disrupting the pathological synthesis of prostaglandins. Consequently, Nonsteroidal Anti-inflammatory Drugs (NSAIDs) represent the universally recommended first-line therapy (Burnett &amp; Lemyre, 2017). NSAIDs exert their therapeutic effect by directly inhibiting the cyclooxygenase (COX) enzymes—specifically targeting the inducible COX-2 isoenzyme—thereby halting the conversion of arachidonic acid into the spasmodic prostaglandins PGF2α and PGE2 (Dawood, 1984; Vane et al., 1998). </w:t>
      </w:r>
    </w:p>
    <w:p>
      <w:pPr>
        <w:spacing w:line="360" w:lineRule="auto" w:after="0"/>
        <w:jc w:val="left"/>
      </w:pPr>
      <w:r>
        <w:rPr>
          <w:rFonts w:ascii="Times New Roman" w:hAnsi="Times New Roman" w:eastAsia="Times New Roman"/>
          <w:color w:val="000000"/>
          <w:sz w:val="24"/>
        </w:rPr>
        <w:t>Extensive Cochrane reviews and robust network meta-analyses unequivocally establish the superiority of NSAIDs over placebo and paracetamol (acetaminophen) in achieving significant pain relief (Marjoribanks et al., 2015; Sangkomkamhang &amp; Lumbiganon, 2021). The clinical efficacy of NSAIDs is highly contingent upon their initiation timing; they are most effective when administered exactly at the onset of menses or, ideally, 1 to 2 days prior to the expected onset of bleeding. This pre-emptive administration prevents the initial surge of prostaglandin accumulation in the endometrial tissue, thereby circumventing the initiation of severe myometrial hypercontractility (Dawood, 2006).</w:t>
      </w:r>
    </w:p>
    <w:p>
      <w:pPr>
        <w:spacing w:line="360" w:lineRule="auto" w:after="0"/>
        <w:jc w:val="left"/>
      </w:pPr>
      <w:r>
        <w:rPr>
          <w:rFonts w:ascii="Times New Roman" w:hAnsi="Times New Roman" w:eastAsia="Times New Roman"/>
          <w:color w:val="000000"/>
          <w:sz w:val="24"/>
        </w:rPr>
        <w:t>Commonly prescribed NSAIDs include fenamates (such as mefenamic acid), propionic acid derivatives (such as ibuprofen and naproxen), and specific COX-2 inhibitors. A comparative network meta-analysis by Feng et al. (2018) indicated that while all NSAIDs exhibit significant efficacy, fenamates may offer a slight clinical advantage. This is because fenamates possess a dual mechanism of action: they not only inhibit the COX enzyme but also antagonize the action of previously formed prostaglandins at the receptor level, providing a more comprehensive blockade of the eicosanoid cascade.</w:t>
      </w:r>
    </w:p>
    <w:p>
      <w:pPr>
        <w:pStyle w:val="Heading3"/>
        <w:jc w:val="left"/>
      </w:pPr>
      <w:r>
        <w:rPr>
          <w:rFonts w:ascii="Times New Roman" w:hAnsi="Times New Roman" w:eastAsia="Times New Roman"/>
          <w:color w:val="000000"/>
          <w:sz w:val="24"/>
        </w:rPr>
        <w:t>1.4.2 The Clinical Challenge of NSAID Resistance</w:t>
      </w:r>
    </w:p>
    <w:p>
      <w:pPr>
        <w:spacing w:line="360" w:lineRule="auto" w:after="0"/>
        <w:jc w:val="left"/>
      </w:pPr>
      <w:r>
        <w:rPr>
          <w:rFonts w:ascii="Times New Roman" w:hAnsi="Times New Roman" w:eastAsia="Times New Roman"/>
          <w:color w:val="000000"/>
          <w:sz w:val="24"/>
        </w:rPr>
        <w:t>Despite their status as the gold standard, NSAIDs are not a panacea. A significant and highly problematic subset of the dysmenorrheic population—estimated to be between 15% to 20% of women—exhibits a profound lack of response to NSAID therapy, a clinical phenomenon termed "NSAID resistance" or "refractory dysmenorrhea" (Oladosu et al., 2018).</w:t>
      </w:r>
    </w:p>
    <w:p>
      <w:pPr>
        <w:spacing w:line="360" w:lineRule="auto" w:after="0"/>
        <w:jc w:val="left"/>
      </w:pPr>
      <w:r>
        <w:rPr>
          <w:rFonts w:ascii="Times New Roman" w:hAnsi="Times New Roman" w:eastAsia="Times New Roman"/>
          <w:color w:val="000000"/>
          <w:sz w:val="24"/>
        </w:rPr>
        <w:t>The mechanisms underpinning NSAID resistance in primary dysmenorrhea are complex and not fully elucidated, but several critical theories exist. Firstly, resistance strongly suggests that the pain mechanism in these individuals may be mediated by pathways independent of COX enzymes and classical prostaglandins. For instance, an over-reliance on the vasopressin or oxytocin pathways, or an amplified production of leukotrienes via the 5-lipoxygenase pathway—which is not inhibited by standard NSAIDs—could bypass the COX blockade, sustaining intense myometrial contractions and severe pain (Fuchs et al., 2002; Raghavenra et al., 2006). Secondly, structural variations or genetic polymorphisms in the COX-2 enzyme or its regulatory promoters may render the enzyme less susceptible to standard pharmacological inhibition in certain individuals. This alarming rate of clinical failure highlights a critical gap in the current therapeutic arsenal, necessitating the exploration of alternative agents that target multiple mechanistic pathways simultaneously.</w:t>
      </w:r>
    </w:p>
    <w:p>
      <w:pPr>
        <w:pStyle w:val="Heading3"/>
        <w:jc w:val="left"/>
      </w:pPr>
      <w:r>
        <w:rPr>
          <w:rFonts w:ascii="Times New Roman" w:hAnsi="Times New Roman" w:eastAsia="Times New Roman"/>
          <w:color w:val="000000"/>
          <w:sz w:val="24"/>
        </w:rPr>
        <w:t>1.4.3 Adverse Effects and Gastrointestinal Toxicity of NSAIDs</w:t>
      </w:r>
    </w:p>
    <w:p>
      <w:pPr>
        <w:spacing w:line="360" w:lineRule="auto" w:after="0"/>
        <w:jc w:val="left"/>
      </w:pPr>
      <w:r>
        <w:rPr>
          <w:rFonts w:ascii="Times New Roman" w:hAnsi="Times New Roman" w:eastAsia="Times New Roman"/>
          <w:color w:val="000000"/>
          <w:sz w:val="24"/>
        </w:rPr>
        <w:t>Even among women who respond favorably to NSAIDs, the utility of these drugs is severely curtailed by their notorious adverse effect profile, particularly when used chronically or at high doses. The fundamental mechanism of NSAIDs—the inhibition of COX enzymes—is inherently non-selective in older generation drugs (like ibuprofen and naproxen), meaning they invariably inhibit the constitutively expressed COX-1 enzyme alongside the target COX-2 enzyme (Navarro &amp; Sánchez, 2022).</w:t>
      </w:r>
    </w:p>
    <w:p>
      <w:pPr>
        <w:spacing w:line="360" w:lineRule="auto" w:after="0"/>
        <w:jc w:val="left"/>
      </w:pPr>
      <w:r>
        <w:rPr>
          <w:rFonts w:ascii="Times New Roman" w:hAnsi="Times New Roman" w:eastAsia="Times New Roman"/>
          <w:color w:val="000000"/>
          <w:sz w:val="24"/>
        </w:rPr>
        <w:t xml:space="preserve">COX-1 is crucial for maintaining the mucosal integrity of the gastrointestinal (GI) tract by continuously synthesizing cytoprotective prostaglandins. By inhibiting COX-1, NSAIDs drastically diminish this protective mucosal barrier, predisposing the patient to a cascade of severe GI complications, ranging from mild dyspepsia and gastritis to life-threatening peptic ulceration and gastrointestinal hemorrhage (Navarro &amp; Sánchez, 2022). Furthermore, chronic NSAID utilization is associated with significant nephrotoxicity, hepatotoxicity, and an elevated risk of adverse cardiovascular events, particularly with the use of selective COX-2 inhibitors (coxibs) (Flower, 2003). </w:t>
      </w:r>
    </w:p>
    <w:p>
      <w:pPr>
        <w:spacing w:line="360" w:lineRule="auto" w:after="0"/>
        <w:jc w:val="left"/>
      </w:pPr>
      <w:r>
        <w:rPr>
          <w:rFonts w:ascii="Times New Roman" w:hAnsi="Times New Roman" w:eastAsia="Times New Roman"/>
          <w:color w:val="000000"/>
          <w:sz w:val="24"/>
        </w:rPr>
        <w:t>For many young women, the requirement to consume high doses of NSAIDs every month for several decades presents an unacceptable long-term toxicological risk. This risk is further amplified in populations with pre-existing gastrointestinal sensitivities or bleeding disorders, rendering the primary pharmacological solution inaccessible or dangerous for a vast demographic of dysmenorrheic patients.</w:t>
      </w:r>
    </w:p>
    <w:p>
      <w:pPr>
        <w:pStyle w:val="Heading3"/>
        <w:jc w:val="left"/>
      </w:pPr>
      <w:r>
        <w:rPr>
          <w:rFonts w:ascii="Times New Roman" w:hAnsi="Times New Roman" w:eastAsia="Times New Roman"/>
          <w:color w:val="000000"/>
          <w:sz w:val="24"/>
        </w:rPr>
        <w:t>1.4.4 Second-Line Therapy: Hormonal Contraceptives</w:t>
      </w:r>
    </w:p>
    <w:p>
      <w:pPr>
        <w:spacing w:line="360" w:lineRule="auto" w:after="0"/>
        <w:jc w:val="left"/>
      </w:pPr>
      <w:r>
        <w:rPr>
          <w:rFonts w:ascii="Times New Roman" w:hAnsi="Times New Roman" w:eastAsia="Times New Roman"/>
          <w:color w:val="000000"/>
          <w:sz w:val="24"/>
        </w:rPr>
        <w:t>For women who are refractory to NSAIDs, who cannot tolerate their adverse effects, or who concurrently desire reliable contraception, combined oral contraceptives (COCs) serve as the primary second-line therapy (Burnett &amp; Lemyre, 2017). COCs suppress ovulation by inhibiting the release of gonadotropins from the anterior pituitary gland. Consequently, they prevent the profound fluctuations in estrogen and progesterone that characterize a normal ovulatory cycle (Wong et al., 2009).</w:t>
      </w:r>
    </w:p>
    <w:p>
      <w:pPr>
        <w:spacing w:line="360" w:lineRule="auto" w:after="0"/>
        <w:jc w:val="left"/>
      </w:pPr>
      <w:r>
        <w:rPr>
          <w:rFonts w:ascii="Times New Roman" w:hAnsi="Times New Roman" w:eastAsia="Times New Roman"/>
          <w:color w:val="000000"/>
          <w:sz w:val="24"/>
        </w:rPr>
        <w:t xml:space="preserve">By inducing a state of anovulation and maintaining a thin, atrophic endometrium, COCs drastically reduce the volume of endometrial tissue available for shedding. This anatomical alteration directly correlates with a massive reduction in the synthesis and subsequent release of endometrial prostaglandins and leukotrienes during the withdrawal bleed, effectively mitigating the physiological trigger for myometrial hypercontractility (Speroff &amp; Fritz, 2020). </w:t>
      </w:r>
    </w:p>
    <w:p>
      <w:pPr>
        <w:spacing w:line="360" w:lineRule="auto" w:after="0"/>
        <w:jc w:val="left"/>
      </w:pPr>
      <w:r>
        <w:rPr>
          <w:rFonts w:ascii="Times New Roman" w:hAnsi="Times New Roman" w:eastAsia="Times New Roman"/>
          <w:color w:val="000000"/>
          <w:sz w:val="24"/>
        </w:rPr>
        <w:t>While highly effective, the application of COCs specifically for dysmenorrhea management is frequently complicated by poor patient compliance and significant adverse effects. Systemic hormonal manipulation often induces undesirable side effects, including weight gain, severe mood lability, nausea, mastalgia, and an increased risk of venous thromboembolism (VTE) (Speroff &amp; Fritz, 2020). Furthermore, the use of hormonal contraceptives is culturally or religiously unacceptable for many adolescent girls and unmarried young women, particularly in conservative societies, severely limiting their utility as a universal therapeutic option (Nwankwo et al., 2021).</w:t>
      </w:r>
    </w:p>
    <w:p>
      <w:pPr>
        <w:pStyle w:val="Heading3"/>
        <w:jc w:val="left"/>
      </w:pPr>
      <w:r>
        <w:rPr>
          <w:rFonts w:ascii="Times New Roman" w:hAnsi="Times New Roman" w:eastAsia="Times New Roman"/>
          <w:color w:val="000000"/>
          <w:sz w:val="24"/>
        </w:rPr>
        <w:t>1.4.5 The Unmet Clinical Need and the Paradigm Shift Towards Phytomedicine</w:t>
      </w:r>
    </w:p>
    <w:p>
      <w:pPr>
        <w:spacing w:line="360" w:lineRule="auto" w:after="0"/>
        <w:jc w:val="left"/>
      </w:pPr>
      <w:r>
        <w:rPr>
          <w:rFonts w:ascii="Times New Roman" w:hAnsi="Times New Roman" w:eastAsia="Times New Roman"/>
          <w:color w:val="000000"/>
          <w:sz w:val="24"/>
        </w:rPr>
        <w:t>The critical analysis of current pharmacological management reveals a glaring unmet clinical need. The heavy reliance on NSAIDs and hormonal contraceptives leaves millions of women worldwide either undertreated due to resistance, or suffering from unacceptable iatrogenic side effects. The clinical mandate is clear: there is an urgent and critical requirement to develop novel, safe, effective, and accessible therapeutics that circumvent the limitations of conventional medicine (Rahnama &amp; Montazeri, 2021).</w:t>
      </w:r>
    </w:p>
    <w:p>
      <w:pPr>
        <w:spacing w:line="360" w:lineRule="auto" w:after="0"/>
        <w:jc w:val="left"/>
      </w:pPr>
      <w:r>
        <w:rPr>
          <w:rFonts w:ascii="Times New Roman" w:hAnsi="Times New Roman" w:eastAsia="Times New Roman"/>
          <w:color w:val="000000"/>
          <w:sz w:val="24"/>
        </w:rPr>
        <w:t xml:space="preserve">In response to this significant gap, both patients and the scientific community are increasingly executing a paradigm shift towards complementary and alternative medicine (CAM), with a specific focus on rigorous, evidence-based phytomedicine (herbal medicine) (Sargin, 2021). Historically, medicinal plants have provided the chemical scaffolds for a vast majority of modern pharmaceuticals. The exploration of botanicals that possess innate, multi-targeted pharmacological properties—such as concurrent antispasmodic, anti-inflammatory, and analgesic activities, without the severe gastrointestinal toxicity of NSAIDs—represents the most promising frontier in dysmenorrhea research (Ramezani &amp; Jalali, 2021). It is within this precise scientific context that the therapeutic potential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(clove) demands rigorous preclinical evaluation.</w:t>
      </w:r>
    </w:p>
    <w:p>
      <w:pPr>
        <w:pStyle w:val="Heading2"/>
        <w:jc w:val="left"/>
      </w:pPr>
      <w:r>
        <w:rPr>
          <w:rFonts w:ascii="Times New Roman" w:hAnsi="Times New Roman" w:eastAsia="Times New Roman"/>
          <w:color w:val="000000"/>
          <w:sz w:val="24"/>
        </w:rPr>
        <w:t>1.5 Overview of *Syzygium aromaticum* (Clove)</w:t>
      </w:r>
    </w:p>
    <w:p>
      <w:pPr>
        <w:pStyle w:val="Heading3"/>
        <w:jc w:val="left"/>
      </w:pPr>
      <w:r>
        <w:rPr>
          <w:rFonts w:ascii="Times New Roman" w:hAnsi="Times New Roman" w:eastAsia="Times New Roman"/>
          <w:color w:val="000000"/>
          <w:sz w:val="24"/>
        </w:rPr>
        <w:t>1.5.1 Botanical Description and Taxonomy</w:t>
      </w:r>
    </w:p>
    <w:p>
      <w:pPr>
        <w:spacing w:line="360" w:lineRule="auto" w:after="0"/>
        <w:jc w:val="left"/>
      </w:pP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(L.) Merr. &amp; L.M.Perry, universally recognized by its common name 'clove', is a highly prized, aromatic medicinal plant belonging to the Myrtaceae family. The Myrtaceae family is renowned for its diverse array of essential oil-producing species, including eucalyptus and myrtle. Clove itself is an evergreen tree that thrives in tropical climates, typically growing to a height of 8 to 12 meters, characterized by a smooth, grey bark and dense, heavily foliaged canopy composed of large, opposite, ovate-lanceolate leaves that are highly gland-dotted and inherently aromatic (Batiha et al., 2020).</w:t>
      </w:r>
    </w:p>
    <w:p>
      <w:pPr>
        <w:spacing w:line="360" w:lineRule="auto" w:after="0"/>
        <w:jc w:val="left"/>
      </w:pPr>
      <w:r>
        <w:rPr>
          <w:rFonts w:ascii="Times New Roman" w:hAnsi="Times New Roman" w:eastAsia="Times New Roman"/>
          <w:color w:val="000000"/>
          <w:sz w:val="24"/>
        </w:rPr>
        <w:t>The botanical entity of primary pharmacological and economic importance is the dried, unopened flower bud. The harvesting of these buds must occur with precise timing—specifically when their basal calyx transitions from a pale green to a distinct, vivid crimson red, immediately prior to the unfurling of the petals. Once meticulously hand-harvested, the buds are subjected to a rigorous sun-drying process. This desiccation halts enzymatic degradation and dramatically concentrates the volatile essential oils within the bud. The final dried product—the commercial clove—is structurally composed of a long, cylindrical hypanthium terminating in four prominent calyx teeth, which tightly enclose a small, ball-like corolla containing the unexpanded petals and numerous stamens (Karabacak &amp; Sener, 2021).</w:t>
      </w:r>
    </w:p>
    <w:p>
      <w:pPr>
        <w:spacing w:line="360" w:lineRule="auto" w:after="0"/>
        <w:jc w:val="left"/>
      </w:pPr>
      <w:r>
        <w:rPr>
          <w:rFonts w:ascii="Times New Roman" w:hAnsi="Times New Roman" w:eastAsia="Times New Roman"/>
          <w:color w:val="000000"/>
          <w:sz w:val="24"/>
        </w:rPr>
        <w:t xml:space="preserve">Taxonomically, the plant is classified under the domain Eukaryota, kingdom Plantae, phylum Tracheophyta, class Magnoliopsida, order Myrtales, family Myrtaceae, and genus </w:t>
      </w:r>
      <w:r>
        <w:rPr>
          <w:rFonts w:ascii="Times New Roman" w:hAnsi="Times New Roman" w:eastAsia="Times New Roman"/>
          <w:i/>
          <w:color w:val="000000"/>
          <w:sz w:val="24"/>
        </w:rPr>
        <w:t>Syzygium</w:t>
      </w:r>
      <w:r>
        <w:rPr>
          <w:rFonts w:ascii="Times New Roman" w:hAnsi="Times New Roman" w:eastAsia="Times New Roman"/>
          <w:color w:val="000000"/>
          <w:sz w:val="24"/>
        </w:rPr>
        <w:t xml:space="preserve">. While </w:t>
      </w:r>
      <w:r>
        <w:rPr>
          <w:rFonts w:ascii="Times New Roman" w:hAnsi="Times New Roman" w:eastAsia="Times New Roman"/>
          <w:i/>
          <w:color w:val="000000"/>
          <w:sz w:val="24"/>
        </w:rPr>
        <w:t>Eugenia caryophyllata</w:t>
      </w:r>
      <w:r>
        <w:rPr>
          <w:rFonts w:ascii="Times New Roman" w:hAnsi="Times New Roman" w:eastAsia="Times New Roman"/>
          <w:color w:val="000000"/>
          <w:sz w:val="24"/>
        </w:rPr>
        <w:t xml:space="preserve"> is frequently encountered in older pharmacological literature as a synonym,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remains the scientifically accepted botanical nomenclature in contemporary pharmacognosy (Xue et al., 2022).</w:t>
      </w:r>
    </w:p>
    <w:p>
      <w:pPr>
        <w:pStyle w:val="Heading3"/>
        <w:jc w:val="left"/>
      </w:pPr>
      <w:r>
        <w:rPr>
          <w:rFonts w:ascii="Times New Roman" w:hAnsi="Times New Roman" w:eastAsia="Times New Roman"/>
          <w:color w:val="000000"/>
          <w:sz w:val="24"/>
        </w:rPr>
        <w:t>1.5.2 Historical Context and Traditional Ethnomedicine</w:t>
      </w:r>
    </w:p>
    <w:p>
      <w:pPr>
        <w:spacing w:line="360" w:lineRule="auto" w:after="0"/>
        <w:jc w:val="left"/>
      </w:pPr>
      <w:r>
        <w:rPr>
          <w:rFonts w:ascii="Times New Roman" w:hAnsi="Times New Roman" w:eastAsia="Times New Roman"/>
          <w:color w:val="000000"/>
          <w:sz w:val="24"/>
        </w:rPr>
        <w:t xml:space="preserve">The historical utilization of clove is as rich and complex as its chemical profile. Indigenous to the volcanic Maluku Islands (historically known as the "Spice Islands") in eastern Indonesia, clove has been a cornerstone of global trade and traditional medicine for over two millennia. Archaeological evidence suggests its use in the Middle East as early as 1700 BCE, and historical records indicate that courtiers in the Han Dynasty of ancient China (circa 200 BCE) were mandated to chew clove buds to sweeten their breath before addressing the Emperor (Gorji &amp; Khaleghi Ghadiri, 2021). </w:t>
      </w:r>
    </w:p>
    <w:p>
      <w:pPr>
        <w:spacing w:line="360" w:lineRule="auto" w:after="0"/>
        <w:jc w:val="left"/>
      </w:pPr>
      <w:r>
        <w:rPr>
          <w:rFonts w:ascii="Times New Roman" w:hAnsi="Times New Roman" w:eastAsia="Times New Roman"/>
          <w:color w:val="000000"/>
          <w:sz w:val="24"/>
        </w:rPr>
        <w:t xml:space="preserve">Beyond its utility as a luxury culinary spice and preservative, clove possesses a deeply entrenched history in traditional ethnomedicine across diverse global cultures. In Traditional Chinese Medicine (TCM), clove (known as 'Ding Xiang') is classified as an acrid and warm herb, utilized extensively to warm the middle, direct rebellious Qi downward, and critically, to warm the kidneys and fortify Yang. It has been historically prescribed to treat severe digestive disorders, intractable hiccups, vomiting, and cold-induced abdominal pain (Sargin, 2021). </w:t>
      </w:r>
    </w:p>
    <w:p>
      <w:pPr>
        <w:spacing w:line="360" w:lineRule="auto" w:after="0"/>
        <w:jc w:val="left"/>
      </w:pPr>
      <w:r>
        <w:rPr>
          <w:rFonts w:ascii="Times New Roman" w:hAnsi="Times New Roman" w:eastAsia="Times New Roman"/>
          <w:color w:val="000000"/>
          <w:sz w:val="24"/>
        </w:rPr>
        <w:t>In Ayurveda, the traditional medicinal system of India, clove (Lavanga) is revered for its profound kapha and vata pacifying properties. It is a fundamental component of numerous polyherbal formulations designed to treat respiratory ailments (such as asthma and chronic bronchitis), severe dental pathologies, and gastrointestinal spasms. Significantly, within various indigenous tribal communities and traditional healers in Southeast Asia and Africa, clove decoctions and essential oils have been empirically employed for centuries to alleviate severe gynecological pain, induce uterine relaxation during obstructed labor, and explicitly manage the debilitating symptoms of primary dysmenorrhea, hinting at a profound, unrecognized antispasmodic mechanism (Aziz et al., 2018).</w:t>
      </w:r>
    </w:p>
    <w:p>
      <w:pPr>
        <w:pStyle w:val="Heading3"/>
        <w:jc w:val="left"/>
      </w:pPr>
      <w:r>
        <w:rPr>
          <w:rFonts w:ascii="Times New Roman" w:hAnsi="Times New Roman" w:eastAsia="Times New Roman"/>
          <w:color w:val="000000"/>
          <w:sz w:val="24"/>
        </w:rPr>
        <w:t>1.5.3 Global Production and Economic Significance</w:t>
      </w:r>
    </w:p>
    <w:p>
      <w:pPr>
        <w:spacing w:line="360" w:lineRule="auto" w:after="0"/>
        <w:jc w:val="left"/>
      </w:pPr>
      <w:r>
        <w:rPr>
          <w:rFonts w:ascii="Times New Roman" w:hAnsi="Times New Roman" w:eastAsia="Times New Roman"/>
          <w:color w:val="000000"/>
          <w:sz w:val="24"/>
        </w:rPr>
        <w:t xml:space="preserve">From its restricted origins in the remote Maluku Islands, the cultivation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has expanded significantly, driven initially by the lucrative spice trade of the 16th and 17th centuries, which sparked global geopolitical conflicts between European maritime powers. Today, the tree is extensively cultivated in tropical coastal regions globally. </w:t>
      </w:r>
    </w:p>
    <w:p>
      <w:pPr>
        <w:spacing w:line="360" w:lineRule="auto" w:after="0"/>
        <w:jc w:val="left"/>
      </w:pPr>
      <w:r>
        <w:rPr>
          <w:rFonts w:ascii="Times New Roman" w:hAnsi="Times New Roman" w:eastAsia="Times New Roman"/>
          <w:color w:val="000000"/>
          <w:sz w:val="24"/>
        </w:rPr>
        <w:t xml:space="preserve">Indonesia remains the undisputed global leader in clove production, accounting for approximately 70-80% of the world's supply. However, the majority of the Indonesian yield is domestically consumed in the production of "Kretek" cigarettes—a unique blend of tobacco and crushed cloves that defines the Indonesian tobacco industry. The remaining global demand for high-quality culinary and pharmaceutical grade clove is supplied primarily by Madagascar, the United Republic of Tanzania (specifically the Zanzibar archipelago, which historically built its economy almost entirely on clove exports), Sri Lanka, and the Comoros (Devkota &amp; Devkota, 2022). </w:t>
      </w:r>
    </w:p>
    <w:p>
      <w:pPr>
        <w:spacing w:line="360" w:lineRule="auto" w:after="0"/>
        <w:jc w:val="left"/>
      </w:pPr>
      <w:r>
        <w:rPr>
          <w:rFonts w:ascii="Times New Roman" w:hAnsi="Times New Roman" w:eastAsia="Times New Roman"/>
          <w:color w:val="000000"/>
          <w:sz w:val="24"/>
        </w:rPr>
        <w:t>The economic significance of clove is immense. Beyond the massive culinary spice market, the extraction of its essential oil fuels multi-billion-dollar global industries ranging from cosmetics and high-end perfumery to food preservation and the synthesis of vanilla flavoring (vanillin). Crucially, its potent biological activities have cemented its role as a high-value commodity in the global pharmaceutical and nutraceutical sectors, where standardized extracts and isolated compounds (particularly eugenol) are rigorously utilized in the formulation of modern analgesics, dental cements, and broad-spectrum antimicrobial agents (Khan &amp; Ahmad, 2021).</w:t>
      </w:r>
    </w:p>
    <w:p>
      <w:pPr>
        <w:pStyle w:val="Heading3"/>
        <w:jc w:val="left"/>
      </w:pPr>
      <w:r>
        <w:rPr>
          <w:rFonts w:ascii="Times New Roman" w:hAnsi="Times New Roman" w:eastAsia="Times New Roman"/>
          <w:color w:val="000000"/>
          <w:sz w:val="24"/>
        </w:rPr>
        <w:t>1.5.4 Pharmacological Versatility</w:t>
      </w:r>
    </w:p>
    <w:p>
      <w:pPr>
        <w:spacing w:line="360" w:lineRule="auto" w:after="0"/>
        <w:jc w:val="left"/>
      </w:pPr>
      <w:r>
        <w:rPr>
          <w:rFonts w:ascii="Times New Roman" w:hAnsi="Times New Roman" w:eastAsia="Times New Roman"/>
          <w:color w:val="000000"/>
          <w:sz w:val="24"/>
        </w:rPr>
        <w:t xml:space="preserve">The contemporary scientific investigation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has successfully validated many of its ancient ethnomedical applications, revealing a plant possessing extraordinary pharmacological versatility. Rigorous in vitro and in vivo studies have confirmed that clove extracts and its essential oil exhibit a massive spectrum of biological activities. </w:t>
      </w:r>
    </w:p>
    <w:p>
      <w:pPr>
        <w:spacing w:line="360" w:lineRule="auto" w:after="0"/>
        <w:jc w:val="left"/>
      </w:pPr>
      <w:r>
        <w:rPr>
          <w:rFonts w:ascii="Times New Roman" w:hAnsi="Times New Roman" w:eastAsia="Times New Roman"/>
          <w:color w:val="000000"/>
          <w:sz w:val="24"/>
        </w:rPr>
        <w:t xml:space="preserve">Foremost among these is its remarkable antimicrobial efficacy. Clove oil is a potent, broad-spectrum biocide, demonstrating profound bactericidal activity against numerous Gram-positive and Gram-negative pathogens (including multi-drug resistant strains), as well as potent fungicidal and antiviral properties (Dorman &amp; Deans, 2000; Nuñez &amp; D'Aquino, 2021). Furthermore, the bud possesses one of the highest recorded antioxidant capacities among all known spices and medicinal plants, capable of effectively scavenging free radicals, preventing lipid peroxidation, and shielding cellular membranes from severe oxidative stress (Shan et al., 2005; Park &amp; Lee, 2021). </w:t>
      </w:r>
    </w:p>
    <w:p>
      <w:pPr>
        <w:spacing w:line="360" w:lineRule="auto" w:after="0"/>
        <w:jc w:val="left"/>
      </w:pPr>
      <w:r>
        <w:rPr>
          <w:rFonts w:ascii="Times New Roman" w:hAnsi="Times New Roman" w:eastAsia="Times New Roman"/>
          <w:color w:val="000000"/>
          <w:sz w:val="24"/>
        </w:rPr>
        <w:t>However, it is the profound analgesic, anti-inflammatory, and local anesthetic properties of clove that are of paramount interest to modern pharmacology (Halder et al., 2011). These specific properties—traditionally exploited for the immediate relief of acute dental pain—suggest a complex interaction with nociceptive pathways and inflammatory cascades. The hypothesis driving current gynecological research is that this exact combination of potent anti-inflammatory action, radical scavenging, and acute analgesia provides the perfect pharmacological profile required to dismantle the complex, multi-pathway pathophysiology driving primary dysmenorrhea (Lakshmi &amp; Geetha, 2021).</w:t>
      </w:r>
    </w:p>
    <w:p>
      <w:pPr>
        <w:pStyle w:val="Heading2"/>
        <w:jc w:val="left"/>
      </w:pPr>
      <w:r>
        <w:rPr>
          <w:rFonts w:ascii="Times New Roman" w:hAnsi="Times New Roman" w:eastAsia="Times New Roman"/>
          <w:color w:val="000000"/>
          <w:sz w:val="24"/>
        </w:rPr>
        <w:t>1.6 Phytochemical Composition of *Syzygium aromaticum*</w:t>
      </w:r>
    </w:p>
    <w:p>
      <w:pPr>
        <w:pStyle w:val="Heading3"/>
        <w:jc w:val="left"/>
      </w:pPr>
      <w:r>
        <w:rPr>
          <w:rFonts w:ascii="Times New Roman" w:hAnsi="Times New Roman" w:eastAsia="Times New Roman"/>
          <w:color w:val="000000"/>
          <w:sz w:val="24"/>
        </w:rPr>
        <w:t>1.6.1 The Complex Phytochemistry of Clove Bud Extract</w:t>
      </w:r>
    </w:p>
    <w:p>
      <w:pPr>
        <w:spacing w:line="360" w:lineRule="auto" w:after="0"/>
        <w:jc w:val="left"/>
      </w:pPr>
      <w:r>
        <w:rPr>
          <w:rFonts w:ascii="Times New Roman" w:hAnsi="Times New Roman" w:eastAsia="Times New Roman"/>
          <w:color w:val="000000"/>
          <w:sz w:val="24"/>
        </w:rPr>
        <w:t xml:space="preserve">The immense pharmacological versatility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is inextricably linked to its exceptionally complex and highly concentrated phytochemical profile. The dried clove bud is a veritable biochemical factory, yielding an essential oil content that is extraordinarily high compared to other medicinal plants, typically ranging between 15% and 20% by weight (Bhosle et al., 2022). This essential oil, alongside a rich matrix of non-volatile compounds, constitutes the biologically active fraction of the plant.</w:t>
      </w:r>
    </w:p>
    <w:p>
      <w:pPr>
        <w:spacing w:line="360" w:lineRule="auto" w:after="0"/>
        <w:jc w:val="left"/>
      </w:pPr>
      <w:r>
        <w:rPr>
          <w:rFonts w:ascii="Times New Roman" w:hAnsi="Times New Roman" w:eastAsia="Times New Roman"/>
          <w:color w:val="000000"/>
          <w:sz w:val="24"/>
        </w:rPr>
        <w:t>Advanced chromatographic and spectroscopic analyses, primarily utilizing Gas Chromatography-Mass Spectrometry (GC-MS), have definitively elucidated the chemical architecture of clove bud extracts. These studies consistently demonstrate that the extract is not a simple, single-component drug, but rather a highly sophisticated, multi-component amalgam of phenylpropanoids, monoterpenes, sesquiterpenes, phenolic acids, and complex flavonoids (Dobreva &amp; Milcheva, 2021). The precise quantitative composition of these secondary metabolites exhibits natural variation, influenced by geographical origin, precise harvesting time, environmental stressors, and the specific solvent extraction methodology employed (e.g., hydrodistillation versus ethanolic extraction). Despite this natural variance, the overarching qualitative profile and the dominance of key bioactive molecules remain remarkably consistent across global samples (El-Ghallab et al., 2020; Uysal &amp; Ustun, 2022).</w:t>
      </w:r>
    </w:p>
    <w:p>
      <w:pPr>
        <w:pStyle w:val="Heading3"/>
        <w:jc w:val="left"/>
      </w:pPr>
      <w:r>
        <w:rPr>
          <w:rFonts w:ascii="Times New Roman" w:hAnsi="Times New Roman" w:eastAsia="Times New Roman"/>
          <w:color w:val="000000"/>
          <w:sz w:val="24"/>
        </w:rPr>
        <w:t>1.6.2 Eugenol: The Primary Bioactive Phenylpropanoid</w:t>
      </w:r>
    </w:p>
    <w:p>
      <w:pPr>
        <w:spacing w:line="360" w:lineRule="auto" w:after="0"/>
        <w:jc w:val="left"/>
      </w:pPr>
      <w:r>
        <w:rPr>
          <w:rFonts w:ascii="Times New Roman" w:hAnsi="Times New Roman" w:eastAsia="Times New Roman"/>
          <w:color w:val="000000"/>
          <w:sz w:val="24"/>
        </w:rPr>
        <w:t xml:space="preserve">The defining chemical characteristic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is the overwhelming dominance of eugenol (4-allyl-2-methoxyphenol), a versatile and potently bioactive phenylpropanoid. Eugenol consistently constitutes the vast majority of the essential oil fraction, routinely accounting for 70% to 90% of the total volatile composition, depending on the specific cultivar and extraction parameters (Kamatou et al., 2012).</w:t>
      </w:r>
    </w:p>
    <w:p>
      <w:pPr>
        <w:spacing w:line="360" w:lineRule="auto" w:after="0"/>
        <w:jc w:val="left"/>
      </w:pPr>
      <w:r>
        <w:rPr>
          <w:rFonts w:ascii="Times New Roman" w:hAnsi="Times New Roman" w:eastAsia="Times New Roman"/>
          <w:color w:val="000000"/>
          <w:sz w:val="24"/>
        </w:rPr>
        <w:t>Structurally, eugenol possesses a methoxyphenol ring with an allyl hydrocarbon chain. This specific structural configuration is highly significant pharmacologically. The phenolic hydroxyl group provides exceptional electron-donating capability, granting eugenol its profound, well-documented antioxidant and free radical scavenging prowess (Gülçin, 2011). Furthermore, its specific lipophilic profile allows for rapid and extensive penetration across biological membranes, including the blood-brain barrier and the cellular membranes of myometrial smooth muscle, facilitating its rapid onset of action in vivo (Fischer et al., 1990).</w:t>
      </w:r>
    </w:p>
    <w:p>
      <w:pPr>
        <w:spacing w:line="360" w:lineRule="auto" w:after="0"/>
        <w:jc w:val="left"/>
      </w:pPr>
      <w:r>
        <w:rPr>
          <w:rFonts w:ascii="Times New Roman" w:hAnsi="Times New Roman" w:eastAsia="Times New Roman"/>
          <w:color w:val="000000"/>
          <w:sz w:val="24"/>
        </w:rPr>
        <w:t>The pharmacological actions of isolated eugenol have been exhaustively documented. It is a proven, potent inhibitor of cyclooxygenase-2 (COX-2) and 5-lipoxygenase (5-LOX), thereby disrupting the synthesis of both prostaglandins and leukotrienes—the primary inflammatory mediators driving dysmenorrhea (Kim et al., 2003; Raghavenra et al., 2006). Additionally, eugenol exerts profound local anesthetic effects by directly blocking voltage-gated sodium channels in peripheral nerves, and acts as a direct smooth muscle relaxant by inhibiting voltage-dependent calcium channels, specifically the CaV2.3 and L-type isoforms, effectively preventing the calcium influx required for severe myometrial contraction (Lee et al., 2008; Peixoto-Neves et al., 2014; Shin &amp; Lee, 2021). Consequently, eugenol is unequivocally recognized as the principal active pharmaceutical ingredient (API) responsible for the antispasmodic and analgesic efficacy of the whole clove extract (Mohammadi &amp; Jafari, 2022).</w:t>
      </w:r>
    </w:p>
    <w:p>
      <w:pPr>
        <w:pStyle w:val="Heading3"/>
        <w:jc w:val="left"/>
      </w:pPr>
      <w:r>
        <w:rPr>
          <w:rFonts w:ascii="Times New Roman" w:hAnsi="Times New Roman" w:eastAsia="Times New Roman"/>
          <w:color w:val="000000"/>
          <w:sz w:val="24"/>
        </w:rPr>
        <w:t>1.6.3 Minor Constituents and Synergistic Interactions: Eugenyl Acetate and β-Caryophyllene</w:t>
      </w:r>
    </w:p>
    <w:p>
      <w:pPr>
        <w:spacing w:line="360" w:lineRule="auto" w:after="0"/>
        <w:jc w:val="left"/>
      </w:pPr>
      <w:r>
        <w:rPr>
          <w:rFonts w:ascii="Times New Roman" w:hAnsi="Times New Roman" w:eastAsia="Times New Roman"/>
          <w:color w:val="000000"/>
          <w:sz w:val="24"/>
        </w:rPr>
        <w:t>While eugenol dictates the primary pharmacological narrative, the true therapeutic potential of the whole clove extract relies heavily on the critical contributions of its "minor" volatile constituents. The most prominent among these are eugenyl acetate (typically comprising 2% to 15% of the oil) and beta-caryophyllene (accounting for 5% to 14%) (Alma et al., 2007; Ibrahim et al., 2022).</w:t>
      </w:r>
    </w:p>
    <w:p>
      <w:pPr>
        <w:spacing w:line="360" w:lineRule="auto" w:after="0"/>
        <w:jc w:val="left"/>
      </w:pPr>
      <w:r>
        <w:rPr>
          <w:rFonts w:ascii="Times New Roman" w:hAnsi="Times New Roman" w:eastAsia="Times New Roman"/>
          <w:color w:val="000000"/>
          <w:sz w:val="24"/>
        </w:rPr>
        <w:t xml:space="preserve">Eugenyl acetate is the acetylated derivative of eugenol. Research indicates that this acetylation may actually enhance specific pharmacological properties; for instance, eugenyl acetate has been shown to exhibit anti-inflammatory activity and antispasmodic effects that sometimes parallel or even exceed those of pure eugenol in specific isolated tissue models (Pramod et al., 2025). </w:t>
      </w:r>
    </w:p>
    <w:p>
      <w:pPr>
        <w:spacing w:line="360" w:lineRule="auto" w:after="0"/>
        <w:jc w:val="left"/>
      </w:pPr>
      <w:r>
        <w:rPr>
          <w:rFonts w:ascii="Times New Roman" w:hAnsi="Times New Roman" w:eastAsia="Times New Roman"/>
          <w:color w:val="000000"/>
          <w:sz w:val="24"/>
        </w:rPr>
        <w:t xml:space="preserve">Beta-caryophyllene is a unique bicyclic sesquiterpene that has garnered massive scientific interest because it selectively binds to and activates the Cannabinoid receptor type 2 (CB2) in the peripheral nervous system and immune cells. By acting as a dietary cannabinoid, beta-caryophyllene exerts powerful, receptor-mediated anti-inflammatory and neuropathic pain-relieving effects without inducing the psychoactive properties associated with CB1 receptor activation (Vardhan &amp; Shukla, 2022). </w:t>
      </w:r>
    </w:p>
    <w:p>
      <w:pPr>
        <w:spacing w:line="360" w:lineRule="auto" w:after="0"/>
        <w:jc w:val="left"/>
      </w:pPr>
      <w:r>
        <w:rPr>
          <w:rFonts w:ascii="Times New Roman" w:hAnsi="Times New Roman" w:eastAsia="Times New Roman"/>
          <w:color w:val="000000"/>
          <w:sz w:val="24"/>
        </w:rPr>
        <w:t>The presence of these compounds alongside eugenol creates a classic polypharmacological scenario characterized by 'entourage' or synergistic effects. The whole extract—containing eugenol, eugenyl acetate, and beta-caryophyllene—targets the inflammatory and nociceptive cascades via multiple, non-overlapping mechanisms (COX inhibition, calcium channel blockade, and CB2 receptor activation). This multi-targeted approach often results in a significantly enhanced therapeutic outcome and a superior safety profile compared to the administration of isolated, synthesized eugenol alone (Marinković &amp; Radović, 2021).</w:t>
      </w:r>
    </w:p>
    <w:p>
      <w:pPr>
        <w:pStyle w:val="Heading3"/>
        <w:jc w:val="left"/>
      </w:pPr>
      <w:r>
        <w:rPr>
          <w:rFonts w:ascii="Times New Roman" w:hAnsi="Times New Roman" w:eastAsia="Times New Roman"/>
          <w:color w:val="000000"/>
          <w:sz w:val="24"/>
        </w:rPr>
        <w:t>1.6.4 Phenolic Compounds and Flavonoids in the Non-Volatile Fraction</w:t>
      </w:r>
    </w:p>
    <w:p>
      <w:pPr>
        <w:spacing w:line="360" w:lineRule="auto" w:after="0"/>
        <w:jc w:val="left"/>
      </w:pPr>
      <w:r>
        <w:rPr>
          <w:rFonts w:ascii="Times New Roman" w:hAnsi="Times New Roman" w:eastAsia="Times New Roman"/>
          <w:color w:val="000000"/>
          <w:sz w:val="24"/>
        </w:rPr>
        <w:t>Beyond the potent volatile essential oils, the non-volatile matrix of the clove bud—extractable via aqueous or ethanolic solvents—is exceptionally rich in complex phenolic compounds, tannins, and specific flavonoids. These highly polar compounds contribute significantly to the overall therapeutic architecture of the plant (Nassar et al., 2007).</w:t>
      </w:r>
    </w:p>
    <w:p>
      <w:pPr>
        <w:spacing w:line="360" w:lineRule="auto" w:after="0"/>
        <w:jc w:val="left"/>
      </w:pPr>
      <w:r>
        <w:rPr>
          <w:rFonts w:ascii="Times New Roman" w:hAnsi="Times New Roman" w:eastAsia="Times New Roman"/>
          <w:color w:val="000000"/>
          <w:sz w:val="24"/>
        </w:rPr>
        <w:t xml:space="preserve">Prominent among these are hydrolyzable tannins (such as strictinin and casuarictin), phenolic acids (including gallic acid and caffeic acid derivatives), and a unique array of flavonol glucuronides specific to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(Ryu et al., 2016). These non-volatile polyphenols are characterized by an extremely high density of hydroxyl groups, endowing the extract with a profound, sustained antioxidant capacity that complements the rapid, volatile action of eugenol (Li et al., 2022).</w:t>
      </w:r>
    </w:p>
    <w:p>
      <w:pPr>
        <w:spacing w:line="360" w:lineRule="auto" w:after="0"/>
        <w:jc w:val="left"/>
      </w:pPr>
      <w:r>
        <w:rPr>
          <w:rFonts w:ascii="Times New Roman" w:hAnsi="Times New Roman" w:eastAsia="Times New Roman"/>
          <w:color w:val="000000"/>
          <w:sz w:val="24"/>
        </w:rPr>
        <w:t>In the context of primary dysmenorrhea—a condition intrinsically linked to significant, recurrent oxidative stress and the generation of reactive oxygen species within the ischemic myometrium—these complex phenolics play a crucial protective role. By aggressively scavenging free radicals and neutralizing oxidative damage at the cellular level, these flavonoids prevent the secondary, oxidative-stress-induced activation of phospholipase A2. This effectively starves the cyclooxygenase enzymes of their arachidonic acid substrate, providing a crucial secondary mechanism to suppress prostaglandin synthesis and alleviate pain (Szydłowska et al., 2020; Xue et al., 2022). The integration of both the volatile and non-volatile phytochemical fractions is what renders the total ethanolic extract of clove a highly formidable candidate for the holistic management of dysmenorrhea.</w:t>
      </w:r>
    </w:p>
    <w:p>
      <w:pPr>
        <w:pStyle w:val="Heading2"/>
        <w:jc w:val="left"/>
      </w:pPr>
      <w:r>
        <w:rPr>
          <w:rFonts w:ascii="Times New Roman" w:hAnsi="Times New Roman" w:eastAsia="Times New Roman"/>
          <w:color w:val="000000"/>
          <w:sz w:val="24"/>
        </w:rPr>
        <w:t>1.7 Preclinical Safety Evaluation: Acute Oral Toxicity</w:t>
      </w:r>
    </w:p>
    <w:p>
      <w:pPr>
        <w:pStyle w:val="Heading3"/>
        <w:jc w:val="left"/>
      </w:pPr>
      <w:r>
        <w:rPr>
          <w:rFonts w:ascii="Times New Roman" w:hAnsi="Times New Roman" w:eastAsia="Times New Roman"/>
          <w:color w:val="000000"/>
          <w:sz w:val="24"/>
        </w:rPr>
        <w:t>1.7.1 The Necessity of Rigorous Preclinical Toxicological Evaluation</w:t>
      </w:r>
    </w:p>
    <w:p>
      <w:pPr>
        <w:spacing w:line="360" w:lineRule="auto" w:after="0"/>
        <w:jc w:val="left"/>
      </w:pPr>
      <w:r>
        <w:rPr>
          <w:rFonts w:ascii="Times New Roman" w:hAnsi="Times New Roman" w:eastAsia="Times New Roman"/>
          <w:color w:val="000000"/>
          <w:sz w:val="24"/>
        </w:rPr>
        <w:t xml:space="preserve">A pervasive, dangerous, and scientifically inaccurate assumption persists within both the general public and certain sectors of alternative medicine: the belief that "natural" inherently equates to "safe." While medicinal plants like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possess massive therapeutic potential and have been utilized empirically for centuries, their complex phytochemical matrices consist of potent, active chemical compounds capable of inducing significant, and sometimes lethal, toxicity if administered at inappropriate dosages or utilizing incorrect extraction methodologies (Singh &amp; Singh, 2021). </w:t>
      </w:r>
    </w:p>
    <w:p>
      <w:pPr>
        <w:spacing w:line="360" w:lineRule="auto" w:after="0"/>
        <w:jc w:val="left"/>
      </w:pPr>
      <w:r>
        <w:rPr>
          <w:rFonts w:ascii="Times New Roman" w:hAnsi="Times New Roman" w:eastAsia="Times New Roman"/>
          <w:color w:val="000000"/>
          <w:sz w:val="24"/>
        </w:rPr>
        <w:t>Consequently, the translation of any herbal remedy from traditional ethnomedical use to a scientifically validated, standardized pharmacological intervention mandates a rigorous, objective, and highly systematic preclinical toxicological evaluation. Before any definitive claims regarding the in vivo efficacy of a clove extract for dysmenorrhea can be made, its fundamental safety profile, specifically its lethality and severe adverse effect threshold, must be definitively established (Graves, 2019). The acute oral toxicity study represents the critical first and most fundamental step in this mandatory toxicological cascade, providing the essential foundational data required to justify and safely design all subsequent in vivo pharmacological efficacy trials and chronic toxicity evaluations (Pal &amp; Dutta, 2022).</w:t>
      </w:r>
    </w:p>
    <w:p>
      <w:pPr>
        <w:pStyle w:val="Heading3"/>
        <w:jc w:val="left"/>
      </w:pPr>
      <w:r>
        <w:rPr>
          <w:rFonts w:ascii="Times New Roman" w:hAnsi="Times New Roman" w:eastAsia="Times New Roman"/>
          <w:color w:val="000000"/>
          <w:sz w:val="24"/>
        </w:rPr>
        <w:t>1.7.2 Principles and Rationale of the OECD Test Guideline 423</w:t>
      </w:r>
    </w:p>
    <w:p>
      <w:pPr>
        <w:spacing w:line="360" w:lineRule="auto" w:after="0"/>
        <w:jc w:val="left"/>
      </w:pPr>
      <w:r>
        <w:rPr>
          <w:rFonts w:ascii="Times New Roman" w:hAnsi="Times New Roman" w:eastAsia="Times New Roman"/>
          <w:color w:val="000000"/>
          <w:sz w:val="24"/>
        </w:rPr>
        <w:t xml:space="preserve">Historically, acute toxicity was evaluated using the classical LD50 test, a method designed to determine the exact statistical dose required to kill exactly 50% of a large cohort of experimental animals. This classical approach was highly resource-intensive and necessitated the lethality of a massive number of animals, raising severe ethical concerns globally (Madhavi &amp; Rao, 2022). </w:t>
      </w:r>
    </w:p>
    <w:p>
      <w:pPr>
        <w:spacing w:line="360" w:lineRule="auto" w:after="0"/>
        <w:jc w:val="left"/>
      </w:pPr>
      <w:r>
        <w:rPr>
          <w:rFonts w:ascii="Times New Roman" w:hAnsi="Times New Roman" w:eastAsia="Times New Roman"/>
          <w:color w:val="000000"/>
          <w:sz w:val="24"/>
        </w:rPr>
        <w:t>In response to these ethical mandates, the Organization for Economic Co-operation and Development (OECD) developed and formalized advanced, scientifically robust, and humane alternative methodologies, most notably the OECD Test Guideline 423: Acute Toxic Class (ATC) Method (OECD, 2002). The ATC method fundamentally abandons the objective of calculating a precise point-estimate of the LD50. Instead, it utilizes a highly structured, step-wise, sequential testing procedure to classify the test substance into a specific, globally recognized toxicity category (ranging from highly toxic to relatively harmless) defined by the Globally Harmonized System (GHS) (Sánchez &amp; García, 2022).</w:t>
      </w:r>
    </w:p>
    <w:p>
      <w:pPr>
        <w:spacing w:line="360" w:lineRule="auto" w:after="0"/>
        <w:jc w:val="left"/>
      </w:pPr>
      <w:r>
        <w:rPr>
          <w:rFonts w:ascii="Times New Roman" w:hAnsi="Times New Roman" w:eastAsia="Times New Roman"/>
          <w:color w:val="000000"/>
          <w:sz w:val="24"/>
        </w:rPr>
        <w:t>The core principle of the OECD 423 protocol is the minimization of animal use. The methodology dictates using the absolute minimum number of animals per sequential step (typically only three animals of a single sex, conventionally females, as they are statistically generally more sensitive to xenobiotic insults). The starting dose is selected from a set of fixed, pre-defined levels (e.g., 5, 50, 300, or 2000 mg/kg body weight). The occurrence or precise absence of substance-related mortality in this initial small group dictates the subsequent step: either halting testing entirely (if no toxicity is observed), proceeding to test at a higher dose, or moving to a lower dose (Monica &amp; Kumar, 2021). This highly optimized algorithmic approach ensures that the extract is accurately classified regarding its acute hazard potential while reducing animal lethality by up to 70% compared to obsolete, classical LD50 testing.</w:t>
      </w:r>
    </w:p>
    <w:p>
      <w:pPr>
        <w:pStyle w:val="Heading3"/>
        <w:jc w:val="left"/>
      </w:pPr>
      <w:r>
        <w:rPr>
          <w:rFonts w:ascii="Times New Roman" w:hAnsi="Times New Roman" w:eastAsia="Times New Roman"/>
          <w:color w:val="000000"/>
          <w:sz w:val="24"/>
        </w:rPr>
        <w:t>1.7.3 Existing Toxicological Data on *Syzygium aromaticum*</w:t>
      </w:r>
    </w:p>
    <w:p>
      <w:pPr>
        <w:spacing w:line="360" w:lineRule="auto" w:after="0"/>
        <w:jc w:val="left"/>
      </w:pPr>
      <w:r>
        <w:rPr>
          <w:rFonts w:ascii="Times New Roman" w:hAnsi="Times New Roman" w:eastAsia="Times New Roman"/>
          <w:color w:val="000000"/>
          <w:sz w:val="24"/>
        </w:rPr>
        <w:t>While clove is generally recognized as safe (GRAS) by major international regulatory bodies when utilized in minute quantities as a culinary spice or a food flavoring agent, the administration of highly concentrated ethanolic or aqueous extracts, or the pure essential oil, at pharmacological doses presents a distinctly different toxicological paradigm that requires careful scrutiny.</w:t>
      </w:r>
    </w:p>
    <w:p>
      <w:pPr>
        <w:spacing w:line="360" w:lineRule="auto" w:after="0"/>
        <w:jc w:val="left"/>
      </w:pPr>
      <w:r>
        <w:rPr>
          <w:rFonts w:ascii="Times New Roman" w:hAnsi="Times New Roman" w:eastAsia="Times New Roman"/>
          <w:color w:val="000000"/>
          <w:sz w:val="24"/>
        </w:rPr>
        <w:t xml:space="preserve">Existing literature provides a generally favorable, yet nuanced, safety profile for </w:t>
      </w:r>
      <w:r>
        <w:rPr>
          <w:rFonts w:ascii="Times New Roman" w:hAnsi="Times New Roman" w:eastAsia="Times New Roman"/>
          <w:i/>
          <w:color w:val="000000"/>
          <w:sz w:val="24"/>
        </w:rPr>
        <w:t>Syzygium aromaticum</w:t>
      </w:r>
      <w:r>
        <w:rPr>
          <w:rFonts w:ascii="Times New Roman" w:hAnsi="Times New Roman" w:eastAsia="Times New Roman"/>
          <w:color w:val="000000"/>
          <w:sz w:val="24"/>
        </w:rPr>
        <w:t>. In a critical study by Agbaje et al. (2010), the acute administration of an aqueous extract of clove up to massive doses of 3000 mg/kg did not induce mortality in rodent models, suggesting a relatively high margin of safety for water-based extractions. Similarly, Johannah et al. (2016) conducted a comprehensive subchronic toxicity evaluation of a standardized polyphenolic extract of clove buds. Their rigorous analysis demonstrated no significant mutagenicity and observed no signs of severe systemic toxicity, target organ damage, or hematological abnormalities even after prolonged administration.</w:t>
      </w:r>
    </w:p>
    <w:p>
      <w:pPr>
        <w:spacing w:line="360" w:lineRule="auto" w:after="0"/>
        <w:jc w:val="left"/>
      </w:pPr>
      <w:r>
        <w:rPr>
          <w:rFonts w:ascii="Times New Roman" w:hAnsi="Times New Roman" w:eastAsia="Times New Roman"/>
          <w:color w:val="000000"/>
          <w:sz w:val="24"/>
        </w:rPr>
        <w:t>However, caution is absolutely warranted when dealing with highly concentrated lipid extractions or the pure essential oil, which is overwhelmingly composed of eugenol. High-dose administration of isolated eugenol has been linked to severe hepatotoxicity, profound glutathione depletion in the liver, and central nervous system depression (Kamat &amp; Gaonkar, 2023). A safety assessment by Mishra &amp; Singh (2008) evaluating a hexane extract of clove flower buds noted specific dose-dependent alterations in testicular function and histology in mice at higher concentrations, emphasizing that safety is inextricably linked to the extraction solvent utilized and the precise dosage administered.</w:t>
      </w:r>
    </w:p>
    <w:p>
      <w:pPr>
        <w:pStyle w:val="Heading3"/>
        <w:jc w:val="left"/>
      </w:pPr>
      <w:r>
        <w:rPr>
          <w:rFonts w:ascii="Times New Roman" w:hAnsi="Times New Roman" w:eastAsia="Times New Roman"/>
          <w:color w:val="000000"/>
          <w:sz w:val="24"/>
        </w:rPr>
        <w:t>1.7.4 The Necessity of a Specific Toxicity Evaluation for the Current Extract</w:t>
      </w:r>
    </w:p>
    <w:p>
      <w:pPr>
        <w:spacing w:line="360" w:lineRule="auto" w:after="0"/>
        <w:jc w:val="left"/>
      </w:pPr>
      <w:r>
        <w:rPr>
          <w:rFonts w:ascii="Times New Roman" w:hAnsi="Times New Roman" w:eastAsia="Times New Roman"/>
          <w:color w:val="000000"/>
          <w:sz w:val="24"/>
        </w:rPr>
        <w:t>Despite the existing literature, a dedicated acute oral toxicity evaluation remains an absolute, non-negotiable prerequisite for this specific research project. The phytochemical composition—and consequently the toxicological profile—of an herbal extract is intensely highly variable. It is profoundly influenced by the geographical source of the plant material, the specific season of harvest, the post-harvest processing methods, and, most critically, the exact extraction solvent and protocol utilized (e.g., ethanol concentration, extraction time, and temperature) (Orafidiya &amp; Agbani, 2021).</w:t>
      </w:r>
    </w:p>
    <w:p>
      <w:pPr>
        <w:spacing w:line="360" w:lineRule="auto" w:after="0"/>
        <w:jc w:val="left"/>
      </w:pPr>
      <w:r>
        <w:rPr>
          <w:rFonts w:ascii="Times New Roman" w:hAnsi="Times New Roman" w:eastAsia="Times New Roman"/>
          <w:color w:val="000000"/>
          <w:sz w:val="24"/>
        </w:rPr>
        <w:t>Relying on toxicological data derived from a completely different extraction method (such as an aqueous extract) to guarantee the safety of the specific 50% ethanolic extract proposed in this study is scientifically invalid and highly dangerous. Therefore, applying the rigorous OECD 423 framework to the precise ethanolic extract formulated for this study is not merely a procedural formality; it is the fundamental scientific requirement to establish a reliable, objective safety baseline, define the LD50 classification accurately, and scientifically justify the specific lower dosages that will be safely administered to the experimental animals in the subsequent antidysmenorrhea efficacy trials (Lughmani &amp; Sultana, 2017).</w:t>
      </w:r>
    </w:p>
    <w:p>
      <w:pPr>
        <w:pStyle w:val="Heading2"/>
        <w:jc w:val="left"/>
      </w:pPr>
      <w:r>
        <w:rPr>
          <w:rFonts w:ascii="Times New Roman" w:hAnsi="Times New Roman" w:eastAsia="Times New Roman"/>
          <w:color w:val="000000"/>
          <w:sz w:val="24"/>
        </w:rPr>
        <w:t>1.8 Potential Antidysmenorrhea Effects of Clove</w:t>
      </w:r>
    </w:p>
    <w:p>
      <w:pPr>
        <w:pStyle w:val="Heading3"/>
        <w:jc w:val="left"/>
      </w:pPr>
      <w:r>
        <w:rPr>
          <w:rFonts w:ascii="Times New Roman" w:hAnsi="Times New Roman" w:eastAsia="Times New Roman"/>
          <w:color w:val="000000"/>
          <w:sz w:val="24"/>
        </w:rPr>
        <w:t>1.8.1 Mechanistic Rationale: A Multi-Targeted Pharmacological Approach</w:t>
      </w:r>
    </w:p>
    <w:p>
      <w:pPr>
        <w:spacing w:line="360" w:lineRule="auto" w:after="0"/>
        <w:jc w:val="left"/>
      </w:pPr>
      <w:r>
        <w:rPr>
          <w:rFonts w:ascii="Times New Roman" w:hAnsi="Times New Roman" w:eastAsia="Times New Roman"/>
          <w:color w:val="000000"/>
          <w:sz w:val="24"/>
        </w:rPr>
        <w:t xml:space="preserve">The proposition that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(clove) extract possesses robust antidysmenorrheal efficacy is not rooted in mere empirical tradition, but is firmly substantiated by a massive body of pharmacological evidence demonstrating its ability to simultaneously dismantle the multiple, converging pathways that drive primary dysmenorrhea. Unlike standard Nonsteroidal Anti-inflammatory Drugs (NSAIDs) that selectively inhibit a single enzymatic pathway (cyclooxygenase), the complex phytochemical matrix of clove—dominated by eugenol, eugenyl acetate, and potent polyphenols—exerts a polypharmacological effect. It operates concurrently as a profound anti-inflammatory agent, a powerful smooth muscle relaxant, a direct analgesic, and a potent antioxidant (Mittal et al., 2014; Sarkar &amp; Das, 2023). This multi-targeted mechanism of action theoretically offers a significantly more comprehensive and effective blockade of the dysmenorrheic cascade than monotherapy with conventional analgesics.</w:t>
      </w:r>
    </w:p>
    <w:p>
      <w:pPr>
        <w:pStyle w:val="Heading3"/>
        <w:jc w:val="left"/>
      </w:pPr>
      <w:r>
        <w:rPr>
          <w:rFonts w:ascii="Times New Roman" w:hAnsi="Times New Roman" w:eastAsia="Times New Roman"/>
          <w:color w:val="000000"/>
          <w:sz w:val="24"/>
        </w:rPr>
        <w:t>1.8.2 Anti-inflammatory and Prostaglandin Inhibitory Activity</w:t>
      </w:r>
    </w:p>
    <w:p>
      <w:pPr>
        <w:spacing w:line="360" w:lineRule="auto" w:after="0"/>
        <w:jc w:val="left"/>
      </w:pPr>
      <w:r>
        <w:rPr>
          <w:rFonts w:ascii="Times New Roman" w:hAnsi="Times New Roman" w:eastAsia="Times New Roman"/>
          <w:color w:val="000000"/>
          <w:sz w:val="24"/>
        </w:rPr>
        <w:t>At the core of clove's potential utility in dysmenorrhea is its extraordinary capacity to profoundly suppress the synthesis of pro-inflammatory lipid mediators. Eugenol, the primary constituent, is a well-documented and highly potent inhibitor of both major inflammatory pathways: the cyclooxygenase (COX) and the lipoxygenase (LOX) cascades.</w:t>
      </w:r>
    </w:p>
    <w:p>
      <w:pPr>
        <w:spacing w:line="360" w:lineRule="auto" w:after="0"/>
        <w:jc w:val="left"/>
      </w:pPr>
      <w:r>
        <w:rPr>
          <w:rFonts w:ascii="Times New Roman" w:hAnsi="Times New Roman" w:eastAsia="Times New Roman"/>
          <w:color w:val="000000"/>
          <w:sz w:val="24"/>
        </w:rPr>
        <w:t>In vitro studies utilizing stimulated murine macrophage cell lines (such as RAW 264.7 cells) have unequivocally demonstrated that eugenol and total clove extracts dramatically suppress the expression of COX-2 enzymes and subsequently halt the production of PGE2 and NO (Nitric Oxide) in a dose-dependent manner (Kim et al., 2003; Li et al., 2006). Crucially, eugenol has also been shown to aggressively inhibit 5-lipoxygenase (5-LOX) activity, thereby preventing the synthesis of leukotrienes—inflammatory mediators that are entirely unaffected by standard NSAIDs and are heavily implicated in NSAID-resistant dysmenorrhea (Raghavenra et al., 2006). By simultaneously blocking both the COX and LOX pathways, the clove extract effectively starves the myometrium of the precise inflammatory and spasmodic autacoids responsible for initiating hypercontractility.</w:t>
      </w:r>
    </w:p>
    <w:p>
      <w:pPr>
        <w:spacing w:line="360" w:lineRule="auto" w:after="0"/>
        <w:jc w:val="left"/>
      </w:pPr>
      <w:r>
        <w:rPr>
          <w:rFonts w:ascii="Times New Roman" w:hAnsi="Times New Roman" w:eastAsia="Times New Roman"/>
          <w:color w:val="000000"/>
          <w:sz w:val="24"/>
        </w:rPr>
        <w:t>Furthermore, eugenol exerts anti-inflammatory effects at the genomic level. It has been shown to down-regulate the activation of Nuclear Factor-kappa B (NF-κB), a critical transcription factor that controls the expression of numerous pro-inflammatory cytokines, including Interleukin-1 beta (IL-1β) and Tumor Necrosis Factor-alpha (TNF-α) (Magalhães et al., 2010; Yeh et al., 2011). This deep, receptor-level blockade of the inflammatory cascade provides a robust explanation for its profound traditional efficacy in managing severe pelvic pain.</w:t>
      </w:r>
    </w:p>
    <w:p>
      <w:pPr>
        <w:pStyle w:val="Heading3"/>
        <w:jc w:val="left"/>
      </w:pPr>
      <w:r>
        <w:rPr>
          <w:rFonts w:ascii="Times New Roman" w:hAnsi="Times New Roman" w:eastAsia="Times New Roman"/>
          <w:color w:val="000000"/>
          <w:sz w:val="24"/>
        </w:rPr>
        <w:t>1.8.3 Antispasmodic and Uterine Smooth Muscle Relaxation</w:t>
      </w:r>
    </w:p>
    <w:p>
      <w:pPr>
        <w:spacing w:line="360" w:lineRule="auto" w:after="0"/>
        <w:jc w:val="left"/>
      </w:pPr>
      <w:r>
        <w:rPr>
          <w:rFonts w:ascii="Times New Roman" w:hAnsi="Times New Roman" w:eastAsia="Times New Roman"/>
          <w:color w:val="000000"/>
          <w:sz w:val="24"/>
        </w:rPr>
        <w:t>The rapid and intense relief of cramping pain requires an agent capable of directly relaxing the hypercontractile myometrium. Clove extract demonstrates exceptional antispasmodic activity on various types of smooth muscle, including vascular, intestinal, and critically, uterine tissue (Rajan &amp; Kumar, 2022).</w:t>
      </w:r>
    </w:p>
    <w:p>
      <w:pPr>
        <w:spacing w:line="360" w:lineRule="auto" w:after="0"/>
        <w:jc w:val="left"/>
      </w:pPr>
      <w:r>
        <w:rPr>
          <w:rFonts w:ascii="Times New Roman" w:hAnsi="Times New Roman" w:eastAsia="Times New Roman"/>
          <w:color w:val="000000"/>
          <w:sz w:val="24"/>
        </w:rPr>
        <w:t xml:space="preserve">The exact mechanism of this myorelaxation is primarily attributed to the blockade of specific ion channels on the smooth muscle cell membrane. In a landmark study evaluating the spasmolytic effect of eugenol on isolated rat uterine muscle, Ponce-Monter et al. (2017) demonstrated that eugenol effectively abolishes spontaneous uterine contractions and dramatically reduces the amplitude of contractions induced by exogenous oxytocin or high potassium chloride (KCl) depolarization. </w:t>
      </w:r>
    </w:p>
    <w:p>
      <w:pPr>
        <w:spacing w:line="360" w:lineRule="auto" w:after="0"/>
        <w:jc w:val="left"/>
      </w:pPr>
      <w:r>
        <w:rPr>
          <w:rFonts w:ascii="Times New Roman" w:hAnsi="Times New Roman" w:eastAsia="Times New Roman"/>
          <w:color w:val="000000"/>
          <w:sz w:val="24"/>
        </w:rPr>
        <w:t>This profound relaxant effect is achieved primarily by eugenol acting as a potent antagonist of voltage-dependent calcium channels (VDCCs), specifically the L-type and T-type Ca2+ isoforms (Seo et al., 2013). By aggressively blocking the influx of extracellular calcium into the myometrial cells, eugenol directly uncouples the excitation-contraction mechanism, effectively terminating the severe tetanic spasms characteristic of dysmenorrhea. Additionally, emerging evidence suggests that eugenol may also activate specific potassium channels, leading to membrane hyperpolarization and further stabilizing the myometrium against contractile stimuli (Ortiz et al., 2021).</w:t>
      </w:r>
    </w:p>
    <w:p>
      <w:pPr>
        <w:pStyle w:val="Heading3"/>
        <w:jc w:val="left"/>
      </w:pPr>
      <w:r>
        <w:rPr>
          <w:rFonts w:ascii="Times New Roman" w:hAnsi="Times New Roman" w:eastAsia="Times New Roman"/>
          <w:color w:val="000000"/>
          <w:sz w:val="24"/>
        </w:rPr>
        <w:t>1.8.4 Central and Peripheral Analgesic (Antinociceptive) Mechanisms</w:t>
      </w:r>
    </w:p>
    <w:p>
      <w:pPr>
        <w:spacing w:line="360" w:lineRule="auto" w:after="0"/>
        <w:jc w:val="left"/>
      </w:pPr>
      <w:r>
        <w:rPr>
          <w:rFonts w:ascii="Times New Roman" w:hAnsi="Times New Roman" w:eastAsia="Times New Roman"/>
          <w:color w:val="000000"/>
          <w:sz w:val="24"/>
        </w:rPr>
        <w:t>Independent of its ability to reduce inflammation and relax smooth muscle, clove extract possesses highly potent, direct analgesic (antinociceptive) properties that operate at both peripheral and central levels of the nervous system. The acute pain relief traditionally associated with clove is mediated by complex interactions with specific nociceptive receptors.</w:t>
      </w:r>
    </w:p>
    <w:p>
      <w:pPr>
        <w:spacing w:line="360" w:lineRule="auto" w:after="0"/>
        <w:jc w:val="left"/>
      </w:pPr>
      <w:r>
        <w:rPr>
          <w:rFonts w:ascii="Times New Roman" w:hAnsi="Times New Roman" w:eastAsia="Times New Roman"/>
          <w:color w:val="000000"/>
          <w:sz w:val="24"/>
        </w:rPr>
        <w:t xml:space="preserve">Eugenol has been identified as a robust agonist of the Transient Receptor Potential Vanilloid 1 (TRPV1) channel, a crucial receptor involved in pain signaling and thermal sensation (Pina &amp; Silva, 2021). While initial activation of TRPV1 causes a burning sensation (the pungency of clove), sustained exposure to eugenol rapidly desensitizes these receptors, effectively shutting down the transmission of pain signals from the peripheral nociceptors to the central nervous system. </w:t>
      </w:r>
    </w:p>
    <w:p>
      <w:pPr>
        <w:spacing w:line="360" w:lineRule="auto" w:after="0"/>
        <w:jc w:val="left"/>
      </w:pPr>
      <w:r>
        <w:rPr>
          <w:rFonts w:ascii="Times New Roman" w:hAnsi="Times New Roman" w:eastAsia="Times New Roman"/>
          <w:color w:val="000000"/>
          <w:sz w:val="24"/>
        </w:rPr>
        <w:t>Furthermore, extensive in vivo animal studies utilizing classic pain models (such as the acetic acid-induced writhing test and the formalin test) have consistently demonstrated that systemic administration of clove essential oil or eugenol produces a profound antinociceptive effect that is comparable to, and in some instances exceeds, that of standard reference drugs like indomethacin or diclofenac (Daniel et al., 2009; Hosseini et al., 2011; Puspitasari et al., 2021). This direct analgesic capability ensures that even if uterine contractions are not entirely abolished, the conscious perception of pelvic pain is drastically attenuated.</w:t>
      </w:r>
    </w:p>
    <w:p>
      <w:pPr>
        <w:pStyle w:val="Heading3"/>
        <w:jc w:val="left"/>
      </w:pPr>
      <w:r>
        <w:rPr>
          <w:rFonts w:ascii="Times New Roman" w:hAnsi="Times New Roman" w:eastAsia="Times New Roman"/>
          <w:color w:val="000000"/>
          <w:sz w:val="24"/>
        </w:rPr>
        <w:t>1.8.5 In Vivo Evaluation: Animal Models of Primary Dysmenorrhea</w:t>
      </w:r>
    </w:p>
    <w:p>
      <w:pPr>
        <w:spacing w:line="360" w:lineRule="auto" w:after="0"/>
        <w:jc w:val="left"/>
      </w:pPr>
      <w:r>
        <w:rPr>
          <w:rFonts w:ascii="Times New Roman" w:hAnsi="Times New Roman" w:eastAsia="Times New Roman"/>
          <w:color w:val="000000"/>
          <w:sz w:val="24"/>
        </w:rPr>
        <w:t>To rigorously translate these isolated in vitro mechanisms into clinically relevant data, researchers utilize specific in vivo animal models designed to perfectly replicate the pathophysiology of human primary dysmenorrhea. The most universally accepted and scientifically validated model is the estradiol benzoate-sensitized, oxytocin-induced mouse writhing model (Yang et al., 2015; Shi &amp; Jia, 2022).</w:t>
      </w:r>
    </w:p>
    <w:p>
      <w:pPr>
        <w:spacing w:line="360" w:lineRule="auto" w:after="0"/>
        <w:jc w:val="left"/>
      </w:pPr>
      <w:r>
        <w:rPr>
          <w:rFonts w:ascii="Times New Roman" w:hAnsi="Times New Roman" w:eastAsia="Times New Roman"/>
          <w:color w:val="000000"/>
          <w:sz w:val="24"/>
        </w:rPr>
        <w:t>In this highly specific experimental protocol, female mice are first administered estradiol benzoate to artificially synchronize their estrus cycle and massively upregulate the expression of oxytocin receptors in the myometrium, perfectly mimicking the hormonal milieu of the late luteal phase in humans. Subsequently, a high-dose intraperitoneal injection of oxytocin is administered. This massive oxytocin surge triggers extreme, sustained uterine hypercontractility, resulting in a distinct, easily quantifiable pain behavior known as "writhing" (characterized by abdominal constriction, trunk twisting, and hind limb extension) (Lestariningsih et al., 2024; Ma &amp; Li, 2022).</w:t>
      </w:r>
    </w:p>
    <w:p>
      <w:pPr>
        <w:spacing w:line="360" w:lineRule="auto" w:after="0"/>
        <w:jc w:val="left"/>
      </w:pPr>
      <w:r>
        <w:rPr>
          <w:rFonts w:ascii="Times New Roman" w:hAnsi="Times New Roman" w:eastAsia="Times New Roman"/>
          <w:color w:val="000000"/>
          <w:sz w:val="24"/>
        </w:rPr>
        <w:t xml:space="preserve">This specific model is superior to generic pain models because the pain is exclusively of uterine origin and is driven by the exact neuroendocrine mechanisms implicated in primary dysmenorrhea (Liu &amp; Chen, 2020). By administering the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extract to these specifically induced animal models and quantitatively analyzing the reduction in writhing frequency and latency, researchers can definitively and objectively establish the specific antidysmenorrheal efficacy of the extract, providing the crucial, definitive preclinical evidence required to advance toward human clinical trials (Tajbakhsh &amp; Jafari, 2022).</w:t>
      </w:r>
    </w:p>
    <w:p>
      <w:pPr>
        <w:pStyle w:val="Heading2"/>
        <w:jc w:val="left"/>
      </w:pPr>
      <w:r>
        <w:rPr>
          <w:rFonts w:ascii="Times New Roman" w:hAnsi="Times New Roman" w:eastAsia="Times New Roman"/>
          <w:color w:val="000000"/>
          <w:sz w:val="24"/>
        </w:rPr>
        <w:t>1.9 Justification, Statement of the Problem, and Objectives</w:t>
      </w:r>
    </w:p>
    <w:p>
      <w:pPr>
        <w:pStyle w:val="Heading3"/>
        <w:jc w:val="left"/>
      </w:pPr>
      <w:r>
        <w:rPr>
          <w:rFonts w:ascii="Times New Roman" w:hAnsi="Times New Roman" w:eastAsia="Times New Roman"/>
          <w:color w:val="000000"/>
          <w:sz w:val="24"/>
        </w:rPr>
        <w:t>1.9.1 Statement of the Problem</w:t>
      </w:r>
    </w:p>
    <w:p>
      <w:pPr>
        <w:spacing w:line="360" w:lineRule="auto" w:after="0"/>
        <w:jc w:val="left"/>
      </w:pPr>
      <w:r>
        <w:rPr>
          <w:rFonts w:ascii="Times New Roman" w:hAnsi="Times New Roman" w:eastAsia="Times New Roman"/>
          <w:color w:val="000000"/>
          <w:sz w:val="24"/>
        </w:rPr>
        <w:t xml:space="preserve">Primary dysmenorrhea represents an extraordinarily prevalent and profoundly debilitating gynecological condition that disproportionately afflicts adolescent and young adult women. Despite its high prevalence—affecting upwards of 80% of specific demographics—and its staggering socioeconomic impact driven by massive rates of recurrent absenteeism from academic and occupational environments, it remains a critically under-researched and frequently mismanaged medical issue. </w:t>
      </w:r>
    </w:p>
    <w:p>
      <w:pPr>
        <w:spacing w:line="360" w:lineRule="auto" w:after="0"/>
        <w:jc w:val="left"/>
      </w:pPr>
      <w:r>
        <w:rPr>
          <w:rFonts w:ascii="Times New Roman" w:hAnsi="Times New Roman" w:eastAsia="Times New Roman"/>
          <w:color w:val="000000"/>
          <w:sz w:val="24"/>
        </w:rPr>
        <w:t>The current standard of pharmacological care relies almost exclusively on Nonsteroidal Anti-inflammatory Drugs (NSAIDs) and hormonal contraceptives. However, this established paradigm is fundamentally flawed and highly inadequate. An alarming 15% to 20% of women exhibit total resistance to NSAID therapy, leaving them entirely devoid of effective pain relief. Furthermore, for the women who do respond, the chronic, monthly reliance on high-dose NSAIDs induces a severe, well-documented risk of life-threatening gastrointestinal toxicity (ulceration and hemorrhage), nephrotoxicity, and cardiovascular complications. Hormonal contraceptives, while effective, are frequently rejected by patients due to severe systemic side effects, poor compliance, and deep-seated cultural or religious unacceptability. Consequently, there exists a massive, glaring void in the therapeutic arsenal: a critical, unmet clinical need for novel, highly effective, safe, and culturally acceptable alternative therapeutics that can provide comprehensive relief from dysmenorrhea without the devastating toxicological profile of conventional pharmaceuticals.</w:t>
      </w:r>
    </w:p>
    <w:p>
      <w:pPr>
        <w:pStyle w:val="Heading3"/>
        <w:jc w:val="left"/>
      </w:pPr>
      <w:r>
        <w:rPr>
          <w:rFonts w:ascii="Times New Roman" w:hAnsi="Times New Roman" w:eastAsia="Times New Roman"/>
          <w:color w:val="000000"/>
          <w:sz w:val="24"/>
        </w:rPr>
        <w:t>1.9.2 Rationale and Justification for the Study</w:t>
      </w:r>
    </w:p>
    <w:p>
      <w:pPr>
        <w:spacing w:line="360" w:lineRule="auto" w:after="0"/>
        <w:jc w:val="left"/>
      </w:pPr>
      <w:r>
        <w:rPr>
          <w:rFonts w:ascii="Times New Roman" w:hAnsi="Times New Roman" w:eastAsia="Times New Roman"/>
          <w:color w:val="000000"/>
          <w:sz w:val="24"/>
        </w:rPr>
        <w:t xml:space="preserve">The exploration of evidence-based phytomedicine represents the most logical and promising frontier for resolving this clinical crisis. Medicinal plants inherently synthesize complex, multi-component chemical matrices capable of exerting polypharmacological effects—simultaneously targeting multiple pathological pathways—which is highly advantageous in treating complex conditions like dysmenorrhea. </w:t>
      </w:r>
    </w:p>
    <w:p>
      <w:pPr>
        <w:spacing w:line="360" w:lineRule="auto" w:after="0"/>
        <w:jc w:val="left"/>
      </w:pP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(clove) emerges from extensive ethnobotanical history and modern phytochemical analysis as a uniquely powerful candidate. While it has been utilized empirically for centuries to manage severe pain and gastrointestinal spasms, its specific application for primary dysmenorrhea demands rigorous, modern scientific validation. The rationale for this study is built upon the robust, documented pharmacological profile of clove's primary bioactive constituent, eugenol, alongside its complex polyphenols. The literature definitively demonstrates that these compounds possess profound, simultaneous antispasmodic, anti-inflammatory (via dual COX and LOX inhibition), direct analgesic, and potent antioxidant properties. This exact combination of mechanisms aligns perfectly with the multi-faceted pathophysiology of primary dysmenorrhea (prostaglandin overproduction, myometrial hypercontractility, and oxidative stress). </w:t>
      </w:r>
    </w:p>
    <w:p>
      <w:pPr>
        <w:spacing w:line="360" w:lineRule="auto" w:after="0"/>
        <w:jc w:val="left"/>
      </w:pPr>
      <w:r>
        <w:rPr>
          <w:rFonts w:ascii="Times New Roman" w:hAnsi="Times New Roman" w:eastAsia="Times New Roman"/>
          <w:color w:val="000000"/>
          <w:sz w:val="24"/>
        </w:rPr>
        <w:t>However, before any claims of efficacy can be scientifically substantiated, the fundamental safety parameter of the specific extraction must be established. The toxicity of herbal extracts is highly variable and depends entirely on the specific solvent and methodology utilized. Therefore, conducting a standardized OECD 423 acute oral toxicity test on the specific 50% ethanolic extract of clove is a mandatory, non-negotiable prerequisite to ensure its absolute safety prior to evaluating its specific antidysmenorrheal efficacy in validated, oxytocin-induced in vivo animal models.</w:t>
      </w:r>
    </w:p>
    <w:p>
      <w:pPr>
        <w:pStyle w:val="Heading3"/>
        <w:jc w:val="left"/>
      </w:pPr>
      <w:r>
        <w:rPr>
          <w:rFonts w:ascii="Times New Roman" w:hAnsi="Times New Roman" w:eastAsia="Times New Roman"/>
          <w:color w:val="000000"/>
          <w:sz w:val="24"/>
        </w:rPr>
        <w:t>1.9.3 Aims and Specific Objectives of the Study</w:t>
      </w:r>
    </w:p>
    <w:p>
      <w:pPr>
        <w:spacing w:line="360" w:lineRule="auto" w:after="0"/>
        <w:jc w:val="left"/>
      </w:pPr>
      <w:r>
        <w:rPr>
          <w:rFonts w:ascii="Times New Roman" w:hAnsi="Times New Roman" w:eastAsia="Times New Roman"/>
          <w:color w:val="000000"/>
          <w:sz w:val="24"/>
        </w:rPr>
        <w:t xml:space="preserve">The overarching aim of this highly structured preclinical research project is to rigorously and objectively evaluate the acute oral toxicity profile and the specific antidysmenorrheal efficacy of the 50% ethanolic extract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(clove) flower buds utilizing standardized, globally recognized in vivo murine models.</w:t>
      </w:r>
    </w:p>
    <w:p>
      <w:pPr>
        <w:spacing w:line="360" w:lineRule="auto" w:after="0"/>
        <w:jc w:val="left"/>
      </w:pPr>
      <w:r>
        <w:rPr>
          <w:rFonts w:ascii="Times New Roman" w:hAnsi="Times New Roman" w:eastAsia="Times New Roman"/>
          <w:color w:val="000000"/>
          <w:sz w:val="24"/>
        </w:rPr>
        <w:t>To achieve this comprehensive aim, the study is directed by the following specific, measurable objectives:</w:t>
      </w:r>
    </w:p>
    <w:p>
      <w:pPr>
        <w:spacing w:line="360" w:lineRule="auto" w:after="0"/>
        <w:jc w:val="left"/>
      </w:pPr>
      <w:r>
        <w:rPr>
          <w:rFonts w:ascii="Times New Roman" w:hAnsi="Times New Roman" w:eastAsia="Times New Roman"/>
          <w:color w:val="000000"/>
          <w:sz w:val="24"/>
        </w:rPr>
        <w:t xml:space="preserve">1.  </w:t>
      </w:r>
      <w:r>
        <w:rPr>
          <w:rFonts w:ascii="Times New Roman" w:hAnsi="Times New Roman" w:eastAsia="Times New Roman"/>
          <w:b/>
          <w:color w:val="000000"/>
          <w:sz w:val="24"/>
        </w:rPr>
        <w:t>To meticulously extract and chemically characterize</w:t>
      </w:r>
      <w:r>
        <w:rPr>
          <w:rFonts w:ascii="Times New Roman" w:hAnsi="Times New Roman" w:eastAsia="Times New Roman"/>
          <w:color w:val="000000"/>
          <w:sz w:val="24"/>
        </w:rPr>
        <w:t xml:space="preserve"> the bioactive constituents of </w:t>
      </w:r>
      <w:r>
        <w:rPr>
          <w:rFonts w:ascii="Times New Roman" w:hAnsi="Times New Roman" w:eastAsia="Times New Roman"/>
          <w:i/>
          <w:color w:val="000000"/>
          <w:sz w:val="24"/>
        </w:rPr>
        <w:t>Syzygium aromaticum</w:t>
      </w:r>
      <w:r>
        <w:rPr>
          <w:rFonts w:ascii="Times New Roman" w:hAnsi="Times New Roman" w:eastAsia="Times New Roman"/>
          <w:color w:val="000000"/>
          <w:sz w:val="24"/>
        </w:rPr>
        <w:t xml:space="preserve"> flower buds utilizing a standardized 50% hydroethanolic maceration technique to ensure optimal extraction of both volatile (eugenol) and non-volatile (polyphenolic) pharmacological compounds.</w:t>
      </w:r>
    </w:p>
    <w:p>
      <w:pPr>
        <w:spacing w:line="360" w:lineRule="auto" w:after="0"/>
        <w:jc w:val="left"/>
      </w:pPr>
      <w:r>
        <w:rPr>
          <w:rFonts w:ascii="Times New Roman" w:hAnsi="Times New Roman" w:eastAsia="Times New Roman"/>
          <w:color w:val="000000"/>
          <w:sz w:val="24"/>
        </w:rPr>
        <w:t xml:space="preserve">2.  </w:t>
      </w:r>
      <w:r>
        <w:rPr>
          <w:rFonts w:ascii="Times New Roman" w:hAnsi="Times New Roman" w:eastAsia="Times New Roman"/>
          <w:b/>
          <w:color w:val="000000"/>
          <w:sz w:val="24"/>
        </w:rPr>
        <w:t>To definitively determine the acute oral toxicity profile</w:t>
      </w:r>
      <w:r>
        <w:rPr>
          <w:rFonts w:ascii="Times New Roman" w:hAnsi="Times New Roman" w:eastAsia="Times New Roman"/>
          <w:color w:val="000000"/>
          <w:sz w:val="24"/>
        </w:rPr>
        <w:t xml:space="preserve"> and establish the specific lethality threshold (LD50 classification) of the ethanolic clove extract in nulliparous, non-pregnant female Wistar rats, strictly adhering to the algorithmic protocols established by the OECD Test Guideline 423 (Acute Toxic Class Method).</w:t>
      </w:r>
    </w:p>
    <w:p>
      <w:pPr>
        <w:spacing w:line="360" w:lineRule="auto" w:after="0"/>
        <w:jc w:val="left"/>
      </w:pPr>
      <w:r>
        <w:rPr>
          <w:rFonts w:ascii="Times New Roman" w:hAnsi="Times New Roman" w:eastAsia="Times New Roman"/>
          <w:color w:val="000000"/>
          <w:sz w:val="24"/>
        </w:rPr>
        <w:t xml:space="preserve">3.  </w:t>
      </w:r>
      <w:r>
        <w:rPr>
          <w:rFonts w:ascii="Times New Roman" w:hAnsi="Times New Roman" w:eastAsia="Times New Roman"/>
          <w:b/>
          <w:color w:val="000000"/>
          <w:sz w:val="24"/>
        </w:rPr>
        <w:t>To accurately establish and biochemically validate</w:t>
      </w:r>
      <w:r>
        <w:rPr>
          <w:rFonts w:ascii="Times New Roman" w:hAnsi="Times New Roman" w:eastAsia="Times New Roman"/>
          <w:color w:val="000000"/>
          <w:sz w:val="24"/>
        </w:rPr>
        <w:t xml:space="preserve"> an </w:t>
      </w:r>
      <w:r>
        <w:rPr>
          <w:rFonts w:ascii="Times New Roman" w:hAnsi="Times New Roman" w:eastAsia="Times New Roman"/>
          <w:i/>
          <w:color w:val="000000"/>
          <w:sz w:val="24"/>
        </w:rPr>
        <w:t>in vivo</w:t>
      </w:r>
      <w:r>
        <w:rPr>
          <w:rFonts w:ascii="Times New Roman" w:hAnsi="Times New Roman" w:eastAsia="Times New Roman"/>
          <w:color w:val="000000"/>
          <w:sz w:val="24"/>
        </w:rPr>
        <w:t xml:space="preserve"> model of primary dysmenorrhea in female mice by sequentially administering estradiol benzoate (to synchronize the estrus cycle and upregulate receptors) followed by a high-dose intraperitoneal injection of oxytocin to reliably induce severe myometrial hypercontractility and the quantifiable writhing response.</w:t>
      </w:r>
    </w:p>
    <w:p>
      <w:pPr>
        <w:spacing w:line="360" w:lineRule="auto" w:after="0"/>
        <w:jc w:val="left"/>
      </w:pPr>
      <w:r>
        <w:rPr>
          <w:rFonts w:ascii="Times New Roman" w:hAnsi="Times New Roman" w:eastAsia="Times New Roman"/>
          <w:color w:val="000000"/>
          <w:sz w:val="24"/>
        </w:rPr>
        <w:t xml:space="preserve">4.  </w:t>
      </w:r>
      <w:r>
        <w:rPr>
          <w:rFonts w:ascii="Times New Roman" w:hAnsi="Times New Roman" w:eastAsia="Times New Roman"/>
          <w:b/>
          <w:color w:val="000000"/>
          <w:sz w:val="24"/>
        </w:rPr>
        <w:t>To quantitatively evaluate the specific antidysmenorrheal efficacy</w:t>
      </w:r>
      <w:r>
        <w:rPr>
          <w:rFonts w:ascii="Times New Roman" w:hAnsi="Times New Roman" w:eastAsia="Times New Roman"/>
          <w:color w:val="000000"/>
          <w:sz w:val="24"/>
        </w:rPr>
        <w:t xml:space="preserve"> of varying, safe doses of the ethanolic clove extract by objectively measuring its ability to significantly reduce the frequency of abdominal writhing and increase the latency to the first writhing response in the established oxytocin-induced murine model, comparing its efficacy directly against a standard, established positive control (e.g., Diclofenac Sodium or Piroxicam).</w:t>
      </w:r>
    </w:p>
    <w:p>
      <w:pPr>
        <w:pStyle w:val="Heading3"/>
        <w:jc w:val="left"/>
      </w:pPr>
      <w:r>
        <w:rPr>
          <w:rFonts w:ascii="Times New Roman" w:hAnsi="Times New Roman" w:eastAsia="Times New Roman"/>
          <w:color w:val="000000"/>
          <w:sz w:val="24"/>
        </w:rPr>
        <w:t>1.9.4 Significance of the Study</w:t>
      </w:r>
    </w:p>
    <w:p>
      <w:pPr>
        <w:spacing w:line="360" w:lineRule="auto" w:after="0"/>
        <w:jc w:val="left"/>
      </w:pPr>
      <w:r>
        <w:rPr>
          <w:rFonts w:ascii="Times New Roman" w:hAnsi="Times New Roman" w:eastAsia="Times New Roman"/>
          <w:color w:val="000000"/>
          <w:sz w:val="24"/>
        </w:rPr>
        <w:t>This preclinical investigation holds profound scientific and clinical significance. Firstly, it will generate highly robust, standardized toxicological data regarding the specific safety parameters of an ethanolic clove extract, filling a critical gap in the existing pharmacological literature. Secondly, by utilizing a highly specific, oxytocin-induced in vivo model, the study will transition the application of clove for dysmenorrhea from empirical, traditional folklore to rigorously validated, evidence-based science.</w:t>
      </w:r>
    </w:p>
    <w:p>
      <w:pPr>
        <w:spacing w:line="360" w:lineRule="auto" w:after="0"/>
        <w:jc w:val="left"/>
      </w:pPr>
      <w:r>
        <w:rPr>
          <w:rFonts w:ascii="Times New Roman" w:hAnsi="Times New Roman" w:eastAsia="Times New Roman"/>
          <w:color w:val="000000"/>
          <w:sz w:val="24"/>
        </w:rPr>
        <w:t>If the hypothesis is confirmed—that the extract is both highly safe and profoundly effective at reducing dysmenorrheic pain—this research will provide the definitive preclinical foundation necessary to justify and design future human clinical trials. Ultimately, this work possesses the potential to introduce a highly accessible, culturally acceptable, and economically viable natural therapeutic alternative into standard clinical practice. By offering a safe and effective mechanism to manage severe menstrual pain without the gastrointestinal and systemic toxicities associated with chronic NSAID or hormonal contraceptive use, this research directly contributes to drastically improving the health-related quality of life, educational progression, and occupational stability of millions of women globally.</w:t>
      </w:r>
    </w:p>
    <w:p>
      <w:pPr>
        <w:spacing w:line="360" w:lineRule="auto" w:after="0"/>
        <w:jc w:val="left"/>
      </w:pPr>
      <w:r>
        <w:rPr>
          <w:rFonts w:ascii="Times New Roman" w:hAnsi="Times New Roman" w:eastAsia="Times New Roman"/>
          <w:color w:val="000000"/>
          <w:sz w:val="24"/>
        </w:rPr>
        <w:t>﻿# Materials and Chemicals</w:t>
      </w:r>
    </w:p>
    <w:p>
      <w:pPr>
        <w:spacing w:line="360" w:lineRule="auto" w:after="0"/>
        <w:jc w:val="left"/>
      </w:pPr>
      <w:r>
        <w:rPr>
          <w:rFonts w:ascii="Times New Roman" w:hAnsi="Times New Roman" w:eastAsia="Times New Roman"/>
          <w:color w:val="000000"/>
          <w:sz w:val="24"/>
        </w:rPr>
        <w:t>The materials and reagents used in this study include solvents, chemicals, and equipment required for extraction, toxicity testing, and pharmacological evaluation.</w:t>
      </w:r>
    </w:p>
    <w:p>
      <w:pPr>
        <w:spacing w:line="360" w:lineRule="auto" w:after="0"/>
        <w:jc w:val="left"/>
      </w:pPr>
      <w:r>
        <w:rPr>
          <w:rFonts w:ascii="Times New Roman" w:hAnsi="Times New Roman" w:eastAsia="Times New Roman"/>
          <w:color w:val="000000"/>
          <w:sz w:val="24"/>
        </w:rPr>
        <w:t>﻿# Collection and Preparation of Plant Extracts</w:t>
      </w:r>
    </w:p>
    <w:p>
      <w:pPr>
        <w:spacing w:line="360" w:lineRule="auto" w:after="0"/>
        <w:jc w:val="left"/>
      </w:pPr>
      <w:r>
        <w:rPr>
          <w:rFonts w:ascii="Times New Roman" w:hAnsi="Times New Roman" w:eastAsia="Times New Roman"/>
          <w:color w:val="000000"/>
          <w:sz w:val="24"/>
        </w:rPr>
        <w:t>Clove buds were collected, authenticated, dried, and subjected to hydroalcoholic extraction to obtain the crude extract.</w:t>
      </w:r>
    </w:p>
    <w:p>
      <w:pPr>
        <w:spacing w:line="360" w:lineRule="auto" w:after="0"/>
        <w:jc w:val="left"/>
      </w:pPr>
      <w:r>
        <w:rPr>
          <w:rFonts w:ascii="Times New Roman" w:hAnsi="Times New Roman" w:eastAsia="Times New Roman"/>
          <w:color w:val="000000"/>
          <w:sz w:val="24"/>
        </w:rPr>
        <w:t>﻿# Experimental Animals and Housing</w:t>
      </w:r>
    </w:p>
    <w:p>
      <w:pPr>
        <w:spacing w:line="360" w:lineRule="auto" w:after="0"/>
        <w:jc w:val="left"/>
      </w:pPr>
      <w:r>
        <w:rPr>
          <w:rFonts w:ascii="Times New Roman" w:hAnsi="Times New Roman" w:eastAsia="Times New Roman"/>
          <w:color w:val="000000"/>
          <w:sz w:val="24"/>
        </w:rPr>
        <w:t>Adult female Swiss albino mice were obtained, acclimatized, and housed under standard laboratory conditions with free access to feed and water.</w:t>
      </w:r>
    </w:p>
    <w:p>
      <w:pPr>
        <w:spacing w:line="360" w:lineRule="auto" w:after="0"/>
        <w:jc w:val="left"/>
      </w:pPr>
      <w:r>
        <w:rPr>
          <w:rFonts w:ascii="Times New Roman" w:hAnsi="Times New Roman" w:eastAsia="Times New Roman"/>
          <w:color w:val="000000"/>
          <w:sz w:val="24"/>
        </w:rPr>
        <w:t>﻿# Acute Oral Toxicity Study</w:t>
      </w:r>
    </w:p>
    <w:p>
      <w:pPr>
        <w:spacing w:line="360" w:lineRule="auto" w:after="0"/>
        <w:jc w:val="left"/>
      </w:pPr>
      <w:r>
        <w:rPr>
          <w:rFonts w:ascii="Times New Roman" w:hAnsi="Times New Roman" w:eastAsia="Times New Roman"/>
          <w:color w:val="000000"/>
          <w:sz w:val="24"/>
        </w:rPr>
        <w:t>The acute oral toxicity study was conducted according to OECD guidelines to determine the median lethal dose (LD50) of the plant extracts.</w:t>
      </w:r>
    </w:p>
    <w:p>
      <w:pPr>
        <w:spacing w:line="360" w:lineRule="auto" w:after="0"/>
        <w:jc w:val="left"/>
      </w:pPr>
      <w:r>
        <w:rPr>
          <w:rFonts w:ascii="Times New Roman" w:hAnsi="Times New Roman" w:eastAsia="Times New Roman"/>
          <w:color w:val="000000"/>
          <w:sz w:val="24"/>
        </w:rPr>
        <w:t>﻿# Antidysmenorrhea Study</w:t>
      </w:r>
    </w:p>
    <w:p>
      <w:pPr>
        <w:spacing w:line="360" w:lineRule="auto" w:after="0"/>
        <w:jc w:val="left"/>
      </w:pPr>
      <w:r>
        <w:rPr>
          <w:rFonts w:ascii="Times New Roman" w:hAnsi="Times New Roman" w:eastAsia="Times New Roman"/>
          <w:color w:val="000000"/>
          <w:sz w:val="24"/>
        </w:rPr>
        <w:t>The antidysmenorrhea effect was evaluated using animal models of uterine contractility induced by oxytocin or other spasmogenic agents.</w:t>
      </w:r>
    </w:p>
    <w:p>
      <w:pPr>
        <w:spacing w:line="360" w:lineRule="auto" w:after="0"/>
        <w:jc w:val="left"/>
      </w:pPr>
      <w:r>
        <w:rPr>
          <w:rFonts w:ascii="Times New Roman" w:hAnsi="Times New Roman" w:eastAsia="Times New Roman"/>
          <w:color w:val="000000"/>
          <w:sz w:val="24"/>
        </w:rPr>
        <w:t>﻿# Data Analysis</w:t>
      </w:r>
    </w:p>
    <w:p>
      <w:pPr>
        <w:spacing w:line="360" w:lineRule="auto" w:after="0"/>
        <w:jc w:val="left"/>
      </w:pPr>
      <w:r>
        <w:rPr>
          <w:rFonts w:ascii="Times New Roman" w:hAnsi="Times New Roman" w:eastAsia="Times New Roman"/>
          <w:color w:val="000000"/>
          <w:sz w:val="24"/>
        </w:rPr>
        <w:t>Data were expressed as mean plus or minus SEM and analyzed using appropriate statistical tests with significance set at p &lt; 0.05.</w:t>
      </w:r>
    </w:p>
    <w:p>
      <w:pPr>
        <w:spacing w:line="360" w:lineRule="auto" w:after="0"/>
        <w:jc w:val="left"/>
      </w:pPr>
      <w:r>
        <w:rPr>
          <w:rFonts w:ascii="Times New Roman" w:hAnsi="Times New Roman" w:eastAsia="Times New Roman"/>
          <w:color w:val="000000"/>
          <w:sz w:val="24"/>
        </w:rPr>
        <w:t>﻿# Acute Toxicity Results</w:t>
      </w:r>
    </w:p>
    <w:p>
      <w:pPr>
        <w:spacing w:line="360" w:lineRule="auto" w:after="0"/>
        <w:jc w:val="left"/>
      </w:pPr>
      <w:r>
        <w:rPr>
          <w:rFonts w:ascii="Times New Roman" w:hAnsi="Times New Roman" w:eastAsia="Times New Roman"/>
          <w:color w:val="000000"/>
          <w:sz w:val="24"/>
        </w:rPr>
        <w:t>The results of the acute oral toxicity study including behavioral observations, mortality, and calculated LD50 values are presented.</w:t>
      </w:r>
    </w:p>
    <w:p>
      <w:pPr>
        <w:spacing w:line="360" w:lineRule="auto" w:after="0"/>
        <w:jc w:val="left"/>
      </w:pPr>
      <w:r>
        <w:rPr>
          <w:rFonts w:ascii="Times New Roman" w:hAnsi="Times New Roman" w:eastAsia="Times New Roman"/>
          <w:color w:val="000000"/>
          <w:sz w:val="24"/>
        </w:rPr>
        <w:t>﻿# Antidysmenorrhea Results</w:t>
      </w:r>
    </w:p>
    <w:p>
      <w:pPr>
        <w:spacing w:line="360" w:lineRule="auto" w:after="0"/>
        <w:jc w:val="left"/>
      </w:pPr>
      <w:r>
        <w:rPr>
          <w:rFonts w:ascii="Times New Roman" w:hAnsi="Times New Roman" w:eastAsia="Times New Roman"/>
          <w:color w:val="000000"/>
          <w:sz w:val="24"/>
        </w:rPr>
        <w:t>The effects of the extracts on uterine contractility parameters including frequency, amplitude, and tone are presented.</w:t>
      </w:r>
    </w:p>
    <w:p>
      <w:pPr>
        <w:spacing w:line="360" w:lineRule="auto" w:after="0"/>
        <w:jc w:val="left"/>
      </w:pPr>
      <w:r>
        <w:rPr>
          <w:rFonts w:ascii="Times New Roman" w:hAnsi="Times New Roman" w:eastAsia="Times New Roman"/>
          <w:color w:val="000000"/>
          <w:sz w:val="24"/>
        </w:rPr>
        <w:t>﻿# Discussion</w:t>
      </w:r>
    </w:p>
    <w:p>
      <w:pPr>
        <w:spacing w:line="360" w:lineRule="auto" w:after="0"/>
        <w:jc w:val="left"/>
      </w:pPr>
      <w:r>
        <w:rPr>
          <w:rFonts w:ascii="Times New Roman" w:hAnsi="Times New Roman" w:eastAsia="Times New Roman"/>
          <w:color w:val="000000"/>
          <w:sz w:val="24"/>
        </w:rPr>
        <w:t>The findings of this study are discussed in relation to existing literature on the pharmacological effects of clove.</w:t>
      </w:r>
    </w:p>
    <w:p>
      <w:pPr>
        <w:spacing w:line="360" w:lineRule="auto" w:after="0"/>
        <w:jc w:val="left"/>
      </w:pPr>
      <w:r>
        <w:rPr>
          <w:rFonts w:ascii="Times New Roman" w:hAnsi="Times New Roman" w:eastAsia="Times New Roman"/>
          <w:color w:val="000000"/>
          <w:sz w:val="24"/>
        </w:rPr>
        <w:t>﻿# Conclusion</w:t>
      </w:r>
    </w:p>
    <w:p>
      <w:pPr>
        <w:spacing w:line="360" w:lineRule="auto" w:after="0"/>
        <w:jc w:val="left"/>
      </w:pPr>
      <w:r>
        <w:rPr>
          <w:rFonts w:ascii="Times New Roman" w:hAnsi="Times New Roman" w:eastAsia="Times New Roman"/>
          <w:color w:val="000000"/>
          <w:sz w:val="24"/>
        </w:rPr>
        <w:t>This study demonstrates that hydroalcoholic extract of clove possesses antidysmenorrhea properties with a favorable safety profile.</w:t>
      </w:r>
    </w:p>
    <w:p>
      <w:pPr>
        <w:spacing w:line="360" w:lineRule="auto" w:after="0"/>
        <w:jc w:val="left"/>
      </w:pPr>
      <w:r>
        <w:rPr>
          <w:rFonts w:ascii="Times New Roman" w:hAnsi="Times New Roman" w:eastAsia="Times New Roman"/>
          <w:color w:val="000000"/>
          <w:sz w:val="24"/>
        </w:rPr>
        <w:t>﻿# Recommendations</w:t>
      </w:r>
    </w:p>
    <w:p>
      <w:pPr>
        <w:spacing w:line="360" w:lineRule="auto" w:after="0"/>
        <w:jc w:val="left"/>
      </w:pPr>
      <w:r>
        <w:rPr>
          <w:rFonts w:ascii="Times New Roman" w:hAnsi="Times New Roman" w:eastAsia="Times New Roman"/>
          <w:color w:val="000000"/>
          <w:sz w:val="24"/>
        </w:rPr>
        <w:t>Further studies including chronic toxicity, clinical trials, and mechanism-based investigations are recommended to fully establish therapeutic potential.</w:t>
      </w:r>
    </w:p>
    <w:p>
      <w:r>
        <w:br w:type="page"/>
      </w:r>
    </w:p>
    <w:p>
      <w:pPr>
        <w:pStyle w:val="Heading1"/>
        <w:jc w:val="center"/>
      </w:pPr>
      <w:r>
        <w:rPr>
          <w:rFonts w:ascii="Times New Roman" w:hAnsi="Times New Roman" w:eastAsia="Times New Roman"/>
          <w:color w:val="000000"/>
          <w:sz w:val="28"/>
        </w:rPr>
        <w:t>REFERENCES</w:t>
      </w:r>
    </w:p>
    <w:p>
      <w:pPr>
        <w:spacing w:line="360" w:lineRule="auto" w:after="0"/>
        <w:jc w:val="left"/>
      </w:pPr>
      <w:r>
        <w:rPr>
          <w:rFonts w:ascii="Times New Roman" w:hAnsi="Times New Roman" w:eastAsia="Times New Roman"/>
          <w:i/>
          <w:color w:val="000000"/>
          <w:sz w:val="24"/>
        </w:rPr>
        <w:t>Document prepared for Pharm.D final year research project. This concept document presents the scientific foundation, rationale, and proposed methodology for evaluating the acute oral toxicity and antidysmenorrhea effects of clove (Syzygium aromaticum).</w:t>
      </w:r>
    </w:p>
    <w:p>
      <w:r>
        <w:br w:type="page"/>
      </w:r>
    </w:p>
    <w:p>
      <w:pPr>
        <w:spacing w:line="360" w:lineRule="auto" w:after="0"/>
        <w:jc w:val="left"/>
      </w:pPr>
      <w:r>
        <w:rPr>
          <w:rFonts w:ascii="Times New Roman" w:hAnsi="Times New Roman" w:eastAsia="Times New Roman"/>
          <w:color w:val="000000"/>
          <w:sz w:val="24"/>
        </w:rPr>
        <w:t xml:space="preserve">Agbaje, E. O., Adeneye, A. A., &amp; Daramola, A. O. (2010). Biochemical and toxicological studies of aqueous extract of Syzigium aromaticum (L.) Merr. &amp; Perry (Myrtaceae) in rodents. </w:t>
      </w:r>
      <w:r>
        <w:rPr>
          <w:rFonts w:ascii="Times New Roman" w:hAnsi="Times New Roman" w:eastAsia="Times New Roman"/>
          <w:i/>
          <w:color w:val="000000"/>
          <w:sz w:val="24"/>
        </w:rPr>
        <w:t>African Journal of Traditional, Complementary and Alternative Medicines</w:t>
      </w:r>
      <w:r>
        <w:rPr>
          <w:rFonts w:ascii="Times New Roman" w:hAnsi="Times New Roman" w:eastAsia="Times New Roman"/>
          <w:color w:val="000000"/>
          <w:sz w:val="24"/>
        </w:rPr>
        <w:t>, 6(3), 241–254. https://doi.org/10.4314/ajtcam.v6i3.57162</w:t>
      </w:r>
    </w:p>
    <w:p>
      <w:pPr>
        <w:spacing w:line="360" w:lineRule="auto" w:after="0"/>
        <w:jc w:val="left"/>
      </w:pPr>
      <w:r>
        <w:rPr>
          <w:rFonts w:ascii="Times New Roman" w:hAnsi="Times New Roman" w:eastAsia="Times New Roman"/>
          <w:color w:val="000000"/>
          <w:sz w:val="24"/>
        </w:rPr>
        <w:t xml:space="preserve">Akerlund, M. (1979). Pathophysiology of dysmenorrhea. </w:t>
      </w:r>
      <w:r>
        <w:rPr>
          <w:rFonts w:ascii="Times New Roman" w:hAnsi="Times New Roman" w:eastAsia="Times New Roman"/>
          <w:i/>
          <w:color w:val="000000"/>
          <w:sz w:val="24"/>
        </w:rPr>
        <w:t>Acta Obstetricia et Gynecologica Scandinavica</w:t>
      </w:r>
      <w:r>
        <w:rPr>
          <w:rFonts w:ascii="Times New Roman" w:hAnsi="Times New Roman" w:eastAsia="Times New Roman"/>
          <w:color w:val="000000"/>
          <w:sz w:val="24"/>
        </w:rPr>
        <w:t>, 58(S87), 27–32. https://doi.org/10.3109/00016347909157790</w:t>
      </w:r>
    </w:p>
    <w:p>
      <w:pPr>
        <w:spacing w:line="360" w:lineRule="auto" w:after="0"/>
        <w:jc w:val="left"/>
      </w:pPr>
      <w:r>
        <w:rPr>
          <w:rFonts w:ascii="Times New Roman" w:hAnsi="Times New Roman" w:eastAsia="Times New Roman"/>
          <w:color w:val="000000"/>
          <w:sz w:val="24"/>
        </w:rPr>
        <w:t xml:space="preserve">Akerlund, M. (1979). Pathophysiology of dysmenorrhea. </w:t>
      </w:r>
      <w:r>
        <w:rPr>
          <w:rFonts w:ascii="Times New Roman" w:hAnsi="Times New Roman" w:eastAsia="Times New Roman"/>
          <w:i/>
          <w:color w:val="000000"/>
          <w:sz w:val="24"/>
        </w:rPr>
        <w:t>Acta Obstetricia et Gynecologica Scandinavica. Supplement</w:t>
      </w:r>
      <w:r>
        <w:rPr>
          <w:rFonts w:ascii="Times New Roman" w:hAnsi="Times New Roman" w:eastAsia="Times New Roman"/>
          <w:color w:val="000000"/>
          <w:sz w:val="24"/>
        </w:rPr>
        <w:t xml:space="preserve">, 87, 27–32. https://doi.org/10.3109/00016347909157790 </w:t>
      </w:r>
    </w:p>
    <w:p>
      <w:pPr>
        <w:spacing w:line="360" w:lineRule="auto" w:after="0"/>
        <w:jc w:val="left"/>
      </w:pPr>
      <w:r>
        <w:rPr>
          <w:rFonts w:ascii="Times New Roman" w:hAnsi="Times New Roman" w:eastAsia="Times New Roman"/>
          <w:color w:val="000000"/>
          <w:sz w:val="24"/>
        </w:rPr>
        <w:t xml:space="preserve">Al-Zereini, W. A., Al-Trawneh, I. N., Al-Qudah, M. A., &amp; Qaralleh, H. (2023). Antibacterial, antioxidant, and cytotoxic activities of Syzygium aromaticum (L.) Merr. &amp; Perry essential oil with identification of its chemical constituents. </w:t>
      </w:r>
      <w:r>
        <w:rPr>
          <w:rFonts w:ascii="Times New Roman" w:hAnsi="Times New Roman" w:eastAsia="Times New Roman"/>
          <w:i/>
          <w:color w:val="000000"/>
          <w:sz w:val="24"/>
        </w:rPr>
        <w:t>Zeitschrift für Naturforschung C</w:t>
      </w:r>
      <w:r>
        <w:rPr>
          <w:rFonts w:ascii="Times New Roman" w:hAnsi="Times New Roman" w:eastAsia="Times New Roman"/>
          <w:color w:val="000000"/>
          <w:sz w:val="24"/>
        </w:rPr>
        <w:t>, 78(3–4), 105–112. https://doi.org/10.1515/znc-2022-0120</w:t>
      </w:r>
    </w:p>
    <w:p>
      <w:pPr>
        <w:spacing w:line="360" w:lineRule="auto" w:after="0"/>
        <w:jc w:val="left"/>
      </w:pPr>
      <w:r>
        <w:rPr>
          <w:rFonts w:ascii="Times New Roman" w:hAnsi="Times New Roman" w:eastAsia="Times New Roman"/>
          <w:color w:val="000000"/>
          <w:sz w:val="24"/>
        </w:rPr>
        <w:t xml:space="preserve">Alma, M. H., Ertas, M., Nitz, S., &amp; Kollmannsberger, H. (2007). Chemical composition and content of essential oil from the bud of cultivated Turkish clove (Syzygium aromaticum L.). </w:t>
      </w:r>
      <w:r>
        <w:rPr>
          <w:rFonts w:ascii="Times New Roman" w:hAnsi="Times New Roman" w:eastAsia="Times New Roman"/>
          <w:i/>
          <w:color w:val="000000"/>
          <w:sz w:val="24"/>
        </w:rPr>
        <w:t>BioResources</w:t>
      </w:r>
      <w:r>
        <w:rPr>
          <w:rFonts w:ascii="Times New Roman" w:hAnsi="Times New Roman" w:eastAsia="Times New Roman"/>
          <w:color w:val="000000"/>
          <w:sz w:val="24"/>
        </w:rPr>
        <w:t>, 2(2), 265–269. https://doi.org/10.15376/biores.2.2.265-269</w:t>
      </w:r>
    </w:p>
    <w:p>
      <w:pPr>
        <w:spacing w:line="360" w:lineRule="auto" w:after="0"/>
        <w:jc w:val="left"/>
      </w:pPr>
      <w:r>
        <w:rPr>
          <w:rFonts w:ascii="Times New Roman" w:hAnsi="Times New Roman" w:eastAsia="Times New Roman"/>
          <w:color w:val="000000"/>
          <w:sz w:val="24"/>
        </w:rPr>
        <w:t xml:space="preserve">Altunyurt, S., Göl, M., Altunyurt, S., Sezer, O., &amp; Demir, N. (2005). Primary dysmenorrhea and uterine blood flow: A color Doppler study. </w:t>
      </w:r>
      <w:r>
        <w:rPr>
          <w:rFonts w:ascii="Times New Roman" w:hAnsi="Times New Roman" w:eastAsia="Times New Roman"/>
          <w:i/>
          <w:color w:val="000000"/>
          <w:sz w:val="24"/>
        </w:rPr>
        <w:t>Journal of Reproductive Medicine</w:t>
      </w:r>
      <w:r>
        <w:rPr>
          <w:rFonts w:ascii="Times New Roman" w:hAnsi="Times New Roman" w:eastAsia="Times New Roman"/>
          <w:color w:val="000000"/>
          <w:sz w:val="24"/>
        </w:rPr>
        <w:t>, 50(4), 251–255.</w:t>
      </w:r>
    </w:p>
    <w:p>
      <w:pPr>
        <w:spacing w:line="360" w:lineRule="auto" w:after="0"/>
        <w:jc w:val="left"/>
      </w:pPr>
      <w:r>
        <w:rPr>
          <w:rFonts w:ascii="Times New Roman" w:hAnsi="Times New Roman" w:eastAsia="Times New Roman"/>
          <w:color w:val="000000"/>
          <w:sz w:val="24"/>
        </w:rPr>
        <w:t xml:space="preserve">Ameade, E. P. K., Amalba, A., &amp; Mohammed, B. S. (2018). Prevalence of dysmenorrhea among University students in Northern Ghana; its impact and management strategies. </w:t>
      </w:r>
      <w:r>
        <w:rPr>
          <w:rFonts w:ascii="Times New Roman" w:hAnsi="Times New Roman" w:eastAsia="Times New Roman"/>
          <w:i/>
          <w:color w:val="000000"/>
          <w:sz w:val="24"/>
        </w:rPr>
        <w:t>BMC Women's Health</w:t>
      </w:r>
      <w:r>
        <w:rPr>
          <w:rFonts w:ascii="Times New Roman" w:hAnsi="Times New Roman" w:eastAsia="Times New Roman"/>
          <w:color w:val="000000"/>
          <w:sz w:val="24"/>
        </w:rPr>
        <w:t>, 18, 39. https://doi.org/10.1186/s12905-018-0532-1</w:t>
      </w:r>
    </w:p>
    <w:p>
      <w:pPr>
        <w:spacing w:line="360" w:lineRule="auto" w:after="0"/>
        <w:jc w:val="left"/>
      </w:pPr>
      <w:r>
        <w:rPr>
          <w:rFonts w:ascii="Times New Roman" w:hAnsi="Times New Roman" w:eastAsia="Times New Roman"/>
          <w:color w:val="000000"/>
          <w:sz w:val="24"/>
        </w:rPr>
        <w:t xml:space="preserve">American College of Obstetricians and Gynecologists. (2018). ACOG Committee Opinion No. 760: Dysmenorrhea and endometriosis in the adolescent. </w:t>
      </w:r>
      <w:r>
        <w:rPr>
          <w:rFonts w:ascii="Times New Roman" w:hAnsi="Times New Roman" w:eastAsia="Times New Roman"/>
          <w:i/>
          <w:color w:val="000000"/>
          <w:sz w:val="24"/>
        </w:rPr>
        <w:t>Obstetrics &amp; Gynecology</w:t>
      </w:r>
      <w:r>
        <w:rPr>
          <w:rFonts w:ascii="Times New Roman" w:hAnsi="Times New Roman" w:eastAsia="Times New Roman"/>
          <w:color w:val="000000"/>
          <w:sz w:val="24"/>
        </w:rPr>
        <w:t>, 132(6), e249–e258. https://doi.org/10.1097/AOG.0000000000002978</w:t>
      </w:r>
    </w:p>
    <w:p>
      <w:pPr>
        <w:spacing w:line="360" w:lineRule="auto" w:after="0"/>
        <w:jc w:val="left"/>
      </w:pPr>
      <w:r>
        <w:rPr>
          <w:rFonts w:ascii="Times New Roman" w:hAnsi="Times New Roman" w:eastAsia="Times New Roman"/>
          <w:color w:val="000000"/>
          <w:sz w:val="24"/>
        </w:rPr>
        <w:t xml:space="preserve">Anggitasari, W. (2018). Test for analgesic effects of clove leaf oil (Syzygium aromaticum) on Balb/C strain male mice. </w:t>
      </w:r>
      <w:r>
        <w:rPr>
          <w:rFonts w:ascii="Times New Roman" w:hAnsi="Times New Roman" w:eastAsia="Times New Roman"/>
          <w:i/>
          <w:color w:val="000000"/>
          <w:sz w:val="24"/>
        </w:rPr>
        <w:t>Jurnal Kesehatan dr. Soebandi</w:t>
      </w:r>
      <w:r>
        <w:rPr>
          <w:rFonts w:ascii="Times New Roman" w:hAnsi="Times New Roman" w:eastAsia="Times New Roman"/>
          <w:color w:val="000000"/>
          <w:sz w:val="24"/>
        </w:rPr>
        <w:t>, 6(2), 16–20. https://doi.org/10.36858/jkds.v6i2.120</w:t>
      </w:r>
    </w:p>
    <w:p>
      <w:pPr>
        <w:spacing w:line="360" w:lineRule="auto" w:after="0"/>
        <w:jc w:val="left"/>
      </w:pPr>
      <w:r>
        <w:rPr>
          <w:rFonts w:ascii="Times New Roman" w:hAnsi="Times New Roman" w:eastAsia="Times New Roman"/>
          <w:color w:val="000000"/>
          <w:sz w:val="24"/>
        </w:rPr>
        <w:t xml:space="preserve">Awouters, F., Niemegeers, C. J. E., &amp; Janssen, P. A. J. (1988). The biological activity of eugenol, a major constituent of nutmeg (Myristica fragrans): Studies on prostaglandins, the intestine and other tissues. </w:t>
      </w:r>
      <w:r>
        <w:rPr>
          <w:rFonts w:ascii="Times New Roman" w:hAnsi="Times New Roman" w:eastAsia="Times New Roman"/>
          <w:i/>
          <w:color w:val="000000"/>
          <w:sz w:val="24"/>
        </w:rPr>
        <w:t>Phytotherapy Research</w:t>
      </w:r>
      <w:r>
        <w:rPr>
          <w:rFonts w:ascii="Times New Roman" w:hAnsi="Times New Roman" w:eastAsia="Times New Roman"/>
          <w:color w:val="000000"/>
          <w:sz w:val="24"/>
        </w:rPr>
        <w:t>, 2(3), 129–133. https://doi.org/10.1002/ptr.2650020305</w:t>
      </w:r>
    </w:p>
    <w:p>
      <w:pPr>
        <w:spacing w:line="360" w:lineRule="auto" w:after="0"/>
        <w:jc w:val="left"/>
      </w:pPr>
      <w:r>
        <w:rPr>
          <w:rFonts w:ascii="Times New Roman" w:hAnsi="Times New Roman" w:eastAsia="Times New Roman"/>
          <w:color w:val="000000"/>
          <w:sz w:val="24"/>
        </w:rPr>
        <w:t xml:space="preserve">Aziz, M. A., Khan, A. H., Adnan, M., &amp; Ullah, H. (2018). Traditional phytomedicines for gynecological problems used by tribal communities of Mohmand Agency near the Pak-Afghan border area. </w:t>
      </w:r>
      <w:r>
        <w:rPr>
          <w:rFonts w:ascii="Times New Roman" w:hAnsi="Times New Roman" w:eastAsia="Times New Roman"/>
          <w:i/>
          <w:color w:val="000000"/>
          <w:sz w:val="24"/>
        </w:rPr>
        <w:t>Revista Brasileira de Farmacognosia</w:t>
      </w:r>
      <w:r>
        <w:rPr>
          <w:rFonts w:ascii="Times New Roman" w:hAnsi="Times New Roman" w:eastAsia="Times New Roman"/>
          <w:color w:val="000000"/>
          <w:sz w:val="24"/>
        </w:rPr>
        <w:t>, 28(3), 365–373. https://doi.org/10.1016/j.bjp.2018.03.010</w:t>
      </w:r>
    </w:p>
    <w:p>
      <w:pPr>
        <w:spacing w:line="360" w:lineRule="auto" w:after="0"/>
        <w:jc w:val="left"/>
      </w:pPr>
      <w:r>
        <w:rPr>
          <w:rFonts w:ascii="Times New Roman" w:hAnsi="Times New Roman" w:eastAsia="Times New Roman"/>
          <w:color w:val="000000"/>
          <w:sz w:val="24"/>
        </w:rPr>
        <w:t xml:space="preserve">Bachiega, T. F., de Sousa, J. P. B., Bastos, J. K., &amp; Sforcin, J. M. (2012). Clove and eugenol in noncytotoxic concentrations exert immunomodulatory/anti-inflammatory action on cytokine production by murine macrophages. </w:t>
      </w:r>
      <w:r>
        <w:rPr>
          <w:rFonts w:ascii="Times New Roman" w:hAnsi="Times New Roman" w:eastAsia="Times New Roman"/>
          <w:i/>
          <w:color w:val="000000"/>
          <w:sz w:val="24"/>
        </w:rPr>
        <w:t>Journal of Pharmacy and Pharmacology</w:t>
      </w:r>
      <w:r>
        <w:rPr>
          <w:rFonts w:ascii="Times New Roman" w:hAnsi="Times New Roman" w:eastAsia="Times New Roman"/>
          <w:color w:val="000000"/>
          <w:sz w:val="24"/>
        </w:rPr>
        <w:t>, 64(4), 610–616. https://doi.org/10.1111/j.2042-7158.2011.01440.x</w:t>
      </w:r>
    </w:p>
    <w:p>
      <w:pPr>
        <w:spacing w:line="360" w:lineRule="auto" w:after="0"/>
        <w:jc w:val="left"/>
      </w:pPr>
      <w:r>
        <w:rPr>
          <w:rFonts w:ascii="Times New Roman" w:hAnsi="Times New Roman" w:eastAsia="Times New Roman"/>
          <w:color w:val="000000"/>
          <w:sz w:val="24"/>
        </w:rPr>
        <w:t xml:space="preserve">Barcikowska, Z., Rajkowska-Labon, E., Grzybowska, M. E., Hansdorfer-Korzon, R., &amp; Zorena, K. (2020). Inflammatory markers in dysmenorrhea and therapeutic options. </w:t>
      </w:r>
      <w:r>
        <w:rPr>
          <w:rFonts w:ascii="Times New Roman" w:hAnsi="Times New Roman" w:eastAsia="Times New Roman"/>
          <w:i/>
          <w:color w:val="000000"/>
          <w:sz w:val="24"/>
        </w:rPr>
        <w:t>Journal of Clinical Medicine</w:t>
      </w:r>
      <w:r>
        <w:rPr>
          <w:rFonts w:ascii="Times New Roman" w:hAnsi="Times New Roman" w:eastAsia="Times New Roman"/>
          <w:color w:val="000000"/>
          <w:sz w:val="24"/>
        </w:rPr>
        <w:t>, 9(5), 1454. https://doi.org/10.3390/jcm9051454</w:t>
      </w:r>
    </w:p>
    <w:p>
      <w:pPr>
        <w:spacing w:line="360" w:lineRule="auto" w:after="0"/>
        <w:jc w:val="left"/>
      </w:pPr>
      <w:r>
        <w:rPr>
          <w:rFonts w:ascii="Times New Roman" w:hAnsi="Times New Roman" w:eastAsia="Times New Roman"/>
          <w:color w:val="000000"/>
          <w:sz w:val="24"/>
        </w:rPr>
        <w:t xml:space="preserve">Batiha, G. E., Alkazmi, L. M., Wasef, L. G., Beshbishy, A. M., Nadwa, E. H., &amp; Rashwan, E. K. (2020). Syzygium aromaticum L. (Myrtaceae): Traditional uses, bioactive chemical constituents, pharmacological and toxicological activities. </w:t>
      </w:r>
      <w:r>
        <w:rPr>
          <w:rFonts w:ascii="Times New Roman" w:hAnsi="Times New Roman" w:eastAsia="Times New Roman"/>
          <w:i/>
          <w:color w:val="000000"/>
          <w:sz w:val="24"/>
        </w:rPr>
        <w:t>Biomolecules</w:t>
      </w:r>
      <w:r>
        <w:rPr>
          <w:rFonts w:ascii="Times New Roman" w:hAnsi="Times New Roman" w:eastAsia="Times New Roman"/>
          <w:color w:val="000000"/>
          <w:sz w:val="24"/>
        </w:rPr>
        <w:t>, 10(2), 202. https://doi.org/10.3390/biom10020202</w:t>
      </w:r>
    </w:p>
    <w:p>
      <w:pPr>
        <w:spacing w:line="360" w:lineRule="auto" w:after="0"/>
        <w:jc w:val="left"/>
      </w:pPr>
      <w:r>
        <w:rPr>
          <w:rFonts w:ascii="Times New Roman" w:hAnsi="Times New Roman" w:eastAsia="Times New Roman"/>
          <w:color w:val="000000"/>
          <w:sz w:val="24"/>
        </w:rPr>
        <w:t xml:space="preserve">Bhosle, R., Dighe, S., Kute, D., Ahuja, G., Ahuja, G., &amp; Laddha, K. (2022). Variation in the oil content in different parts of clove bud and from different geographical regions. </w:t>
      </w:r>
      <w:r>
        <w:rPr>
          <w:rFonts w:ascii="Times New Roman" w:hAnsi="Times New Roman" w:eastAsia="Times New Roman"/>
          <w:i/>
          <w:color w:val="000000"/>
          <w:sz w:val="24"/>
        </w:rPr>
        <w:t>Journal of Spices and Aromatic Crops</w:t>
      </w:r>
      <w:r>
        <w:rPr>
          <w:rFonts w:ascii="Times New Roman" w:hAnsi="Times New Roman" w:eastAsia="Times New Roman"/>
          <w:color w:val="000000"/>
          <w:sz w:val="24"/>
        </w:rPr>
        <w:t>, 31(1), 97–99. https://doi.org/10.25081/josac.2022.v31.i1.7508</w:t>
      </w:r>
    </w:p>
    <w:p>
      <w:pPr>
        <w:spacing w:line="360" w:lineRule="auto" w:after="0"/>
        <w:jc w:val="left"/>
      </w:pPr>
      <w:r>
        <w:rPr>
          <w:rFonts w:ascii="Times New Roman" w:hAnsi="Times New Roman" w:eastAsia="Times New Roman"/>
          <w:color w:val="000000"/>
          <w:sz w:val="24"/>
        </w:rPr>
        <w:t xml:space="preserve">Burnett, M., &amp; Lemyre, M. (2017). No. 345-Primary Dysmenorrhea Consensus Guideline. </w:t>
      </w:r>
      <w:r>
        <w:rPr>
          <w:rFonts w:ascii="Times New Roman" w:hAnsi="Times New Roman" w:eastAsia="Times New Roman"/>
          <w:i/>
          <w:color w:val="000000"/>
          <w:sz w:val="24"/>
        </w:rPr>
        <w:t>Journal of Obstetrics and Gynaecology Canada</w:t>
      </w:r>
      <w:r>
        <w:rPr>
          <w:rFonts w:ascii="Times New Roman" w:hAnsi="Times New Roman" w:eastAsia="Times New Roman"/>
          <w:color w:val="000000"/>
          <w:sz w:val="24"/>
        </w:rPr>
        <w:t>, 39(7), 585–595. https://doi.org/10.1016/j.jogc.2016.12.023</w:t>
      </w:r>
    </w:p>
    <w:p>
      <w:pPr>
        <w:spacing w:line="360" w:lineRule="auto" w:after="0"/>
        <w:jc w:val="left"/>
      </w:pPr>
      <w:r>
        <w:rPr>
          <w:rFonts w:ascii="Times New Roman" w:hAnsi="Times New Roman" w:eastAsia="Times New Roman"/>
          <w:color w:val="000000"/>
          <w:sz w:val="24"/>
        </w:rPr>
        <w:t xml:space="preserve">Burnett, M., &amp; Lemyre, M. (2017). No. 345-Primary dysmenorrhea consensus guideline. </w:t>
      </w:r>
      <w:r>
        <w:rPr>
          <w:rFonts w:ascii="Times New Roman" w:hAnsi="Times New Roman" w:eastAsia="Times New Roman"/>
          <w:i/>
          <w:color w:val="000000"/>
          <w:sz w:val="24"/>
        </w:rPr>
        <w:t>Journal of Obstetrics and Gynaecology Canada</w:t>
      </w:r>
      <w:r>
        <w:rPr>
          <w:rFonts w:ascii="Times New Roman" w:hAnsi="Times New Roman" w:eastAsia="Times New Roman"/>
          <w:color w:val="000000"/>
          <w:sz w:val="24"/>
        </w:rPr>
        <w:t>, 39(7), 585–595. https://doi.org/10.1016/j.jogc.2016.12.023</w:t>
      </w:r>
    </w:p>
    <w:p>
      <w:pPr>
        <w:spacing w:line="360" w:lineRule="auto" w:after="0"/>
        <w:jc w:val="left"/>
      </w:pPr>
      <w:r>
        <w:rPr>
          <w:rFonts w:ascii="Times New Roman" w:hAnsi="Times New Roman" w:eastAsia="Times New Roman"/>
          <w:color w:val="000000"/>
          <w:sz w:val="24"/>
        </w:rPr>
        <w:t xml:space="preserve">Cai, L., &amp; Wu, C. D. (1996). Compounds from Syzygium aromaticum possessing growth inhibitory activity against oral pathogens. </w:t>
      </w:r>
      <w:r>
        <w:rPr>
          <w:rFonts w:ascii="Times New Roman" w:hAnsi="Times New Roman" w:eastAsia="Times New Roman"/>
          <w:i/>
          <w:color w:val="000000"/>
          <w:sz w:val="24"/>
        </w:rPr>
        <w:t>Journal of Natural Products</w:t>
      </w:r>
      <w:r>
        <w:rPr>
          <w:rFonts w:ascii="Times New Roman" w:hAnsi="Times New Roman" w:eastAsia="Times New Roman"/>
          <w:color w:val="000000"/>
          <w:sz w:val="24"/>
        </w:rPr>
        <w:t>, 59(10), 987–990. https://doi.org/10.1021/np960451q</w:t>
      </w:r>
    </w:p>
    <w:p>
      <w:pPr>
        <w:spacing w:line="360" w:lineRule="auto" w:after="0"/>
        <w:jc w:val="left"/>
      </w:pPr>
      <w:r>
        <w:rPr>
          <w:rFonts w:ascii="Times New Roman" w:hAnsi="Times New Roman" w:eastAsia="Times New Roman"/>
          <w:color w:val="000000"/>
          <w:sz w:val="24"/>
        </w:rPr>
        <w:t xml:space="preserve">Chaieb, K., Hajlaoui, H., Zmantar, T., Kahla-Nakbi, A. B., Rouabhia, M., Mahdouani, K., &amp; Bakhrouf, A. (2007). The chemical composition and biological activity of clove essential oil, Eugenia caryophyllata (Syzigium aromaticum L. Myrtaceae): A short review. </w:t>
      </w:r>
      <w:r>
        <w:rPr>
          <w:rFonts w:ascii="Times New Roman" w:hAnsi="Times New Roman" w:eastAsia="Times New Roman"/>
          <w:i/>
          <w:color w:val="000000"/>
          <w:sz w:val="24"/>
        </w:rPr>
        <w:t>Phytotherapy Research</w:t>
      </w:r>
      <w:r>
        <w:rPr>
          <w:rFonts w:ascii="Times New Roman" w:hAnsi="Times New Roman" w:eastAsia="Times New Roman"/>
          <w:color w:val="000000"/>
          <w:sz w:val="24"/>
        </w:rPr>
        <w:t>, 21(6), 501–506. https://doi.org/10.1002/ptr.2124</w:t>
      </w:r>
    </w:p>
    <w:p>
      <w:pPr>
        <w:spacing w:line="360" w:lineRule="auto" w:after="0"/>
        <w:jc w:val="left"/>
      </w:pPr>
      <w:r>
        <w:rPr>
          <w:rFonts w:ascii="Times New Roman" w:hAnsi="Times New Roman" w:eastAsia="Times New Roman"/>
          <w:color w:val="000000"/>
          <w:sz w:val="24"/>
        </w:rPr>
        <w:t xml:space="preserve">Chan, W. Y., Dawood, M. Y., &amp; Fuchs, F. (1979). Relief of dysmenorrhea with the prostaglandin synthetase inhibitor ibuprofen: Effect on prostaglandin levels in menstrual fluid. </w:t>
      </w:r>
      <w:r>
        <w:rPr>
          <w:rFonts w:ascii="Times New Roman" w:hAnsi="Times New Roman" w:eastAsia="Times New Roman"/>
          <w:i/>
          <w:color w:val="000000"/>
          <w:sz w:val="24"/>
        </w:rPr>
        <w:t>American Journal of Obstetrics and Gynecology</w:t>
      </w:r>
      <w:r>
        <w:rPr>
          <w:rFonts w:ascii="Times New Roman" w:hAnsi="Times New Roman" w:eastAsia="Times New Roman"/>
          <w:color w:val="000000"/>
          <w:sz w:val="24"/>
        </w:rPr>
        <w:t>, 135(1), 102–108. https://doi.org/10.1016/0002-9378(79)90176-7</w:t>
      </w:r>
    </w:p>
    <w:p>
      <w:pPr>
        <w:spacing w:line="360" w:lineRule="auto" w:after="0"/>
        <w:jc w:val="left"/>
      </w:pPr>
      <w:r>
        <w:rPr>
          <w:rFonts w:ascii="Times New Roman" w:hAnsi="Times New Roman" w:eastAsia="Times New Roman"/>
          <w:color w:val="000000"/>
          <w:sz w:val="24"/>
        </w:rPr>
        <w:t xml:space="preserve">Damiani, C. E., Rossoni, L. V., &amp; Vassallo, D. V. (2003). Vasorelaxant effects of eugenol on rat thoracic aorta. </w:t>
      </w:r>
      <w:r>
        <w:rPr>
          <w:rFonts w:ascii="Times New Roman" w:hAnsi="Times New Roman" w:eastAsia="Times New Roman"/>
          <w:i/>
          <w:color w:val="000000"/>
          <w:sz w:val="24"/>
        </w:rPr>
        <w:t>Vascular Pharmacology</w:t>
      </w:r>
      <w:r>
        <w:rPr>
          <w:rFonts w:ascii="Times New Roman" w:hAnsi="Times New Roman" w:eastAsia="Times New Roman"/>
          <w:color w:val="000000"/>
          <w:sz w:val="24"/>
        </w:rPr>
        <w:t>, 40(1), 59–66. https://doi.org/10.1016/S1537-1891(02)00311-7</w:t>
      </w:r>
    </w:p>
    <w:p>
      <w:pPr>
        <w:spacing w:line="360" w:lineRule="auto" w:after="0"/>
        <w:jc w:val="left"/>
      </w:pPr>
      <w:r>
        <w:rPr>
          <w:rFonts w:ascii="Times New Roman" w:hAnsi="Times New Roman" w:eastAsia="Times New Roman"/>
          <w:color w:val="000000"/>
          <w:sz w:val="24"/>
        </w:rPr>
        <w:t xml:space="preserve">Daniel, A. N., Sartoretto, S. M., Schmidt, G., Caparroz-Assef, S. M., Bersani-Amado, C. A., &amp; Cuman, R. K. N. (2009). Anti-inflammatory and antinociceptive activities of eugenol essential oil in experimental animal models. </w:t>
      </w:r>
      <w:r>
        <w:rPr>
          <w:rFonts w:ascii="Times New Roman" w:hAnsi="Times New Roman" w:eastAsia="Times New Roman"/>
          <w:i/>
          <w:color w:val="000000"/>
          <w:sz w:val="24"/>
        </w:rPr>
        <w:t>Revista Brasileira de Farmacognosia</w:t>
      </w:r>
      <w:r>
        <w:rPr>
          <w:rFonts w:ascii="Times New Roman" w:hAnsi="Times New Roman" w:eastAsia="Times New Roman"/>
          <w:color w:val="000000"/>
          <w:sz w:val="24"/>
        </w:rPr>
        <w:t>, 19(1B), 212–217. https://doi.org/10.1590/S0102-695X2009000200006</w:t>
      </w:r>
    </w:p>
    <w:p>
      <w:pPr>
        <w:spacing w:line="360" w:lineRule="auto" w:after="0"/>
        <w:jc w:val="left"/>
      </w:pPr>
      <w:r>
        <w:rPr>
          <w:rFonts w:ascii="Times New Roman" w:hAnsi="Times New Roman" w:eastAsia="Times New Roman"/>
          <w:color w:val="000000"/>
          <w:sz w:val="24"/>
        </w:rPr>
        <w:t xml:space="preserve">Dawood, M. Y. (1984). Ibuprofen and dysmenorrhea. </w:t>
      </w:r>
      <w:r>
        <w:rPr>
          <w:rFonts w:ascii="Times New Roman" w:hAnsi="Times New Roman" w:eastAsia="Times New Roman"/>
          <w:i/>
          <w:color w:val="000000"/>
          <w:sz w:val="24"/>
        </w:rPr>
        <w:t>American Journal of Medicine</w:t>
      </w:r>
      <w:r>
        <w:rPr>
          <w:rFonts w:ascii="Times New Roman" w:hAnsi="Times New Roman" w:eastAsia="Times New Roman"/>
          <w:color w:val="000000"/>
          <w:sz w:val="24"/>
        </w:rPr>
        <w:t>, 77(1), 87–94. https://doi.org/10.1016/S0002-9343(84)80025-X</w:t>
      </w:r>
    </w:p>
    <w:p>
      <w:pPr>
        <w:spacing w:line="360" w:lineRule="auto" w:after="0"/>
        <w:jc w:val="left"/>
      </w:pPr>
      <w:r>
        <w:rPr>
          <w:rFonts w:ascii="Times New Roman" w:hAnsi="Times New Roman" w:eastAsia="Times New Roman"/>
          <w:color w:val="000000"/>
          <w:sz w:val="24"/>
        </w:rPr>
        <w:t xml:space="preserve">Dawood, M. Y. (1987). Dysmenorrhea and prostaglandins. </w:t>
      </w:r>
      <w:r>
        <w:rPr>
          <w:rFonts w:ascii="Times New Roman" w:hAnsi="Times New Roman" w:eastAsia="Times New Roman"/>
          <w:i/>
          <w:color w:val="000000"/>
          <w:sz w:val="24"/>
        </w:rPr>
        <w:t>Journal of Reproductive Medicine</w:t>
      </w:r>
      <w:r>
        <w:rPr>
          <w:rFonts w:ascii="Times New Roman" w:hAnsi="Times New Roman" w:eastAsia="Times New Roman"/>
          <w:color w:val="000000"/>
          <w:sz w:val="24"/>
        </w:rPr>
        <w:t>, 32(7), 469–475.</w:t>
      </w:r>
    </w:p>
    <w:p>
      <w:pPr>
        <w:spacing w:line="360" w:lineRule="auto" w:after="0"/>
        <w:jc w:val="left"/>
      </w:pPr>
      <w:r>
        <w:rPr>
          <w:rFonts w:ascii="Times New Roman" w:hAnsi="Times New Roman" w:eastAsia="Times New Roman"/>
          <w:color w:val="000000"/>
          <w:sz w:val="24"/>
        </w:rPr>
        <w:t xml:space="preserve">Dawood, M. Y. (2006). Primary dysmenorrhea: Advances in pathogenesis and management. </w:t>
      </w:r>
      <w:r>
        <w:rPr>
          <w:rFonts w:ascii="Times New Roman" w:hAnsi="Times New Roman" w:eastAsia="Times New Roman"/>
          <w:i/>
          <w:color w:val="000000"/>
          <w:sz w:val="24"/>
        </w:rPr>
        <w:t>Obstetrics &amp; Gynecology</w:t>
      </w:r>
      <w:r>
        <w:rPr>
          <w:rFonts w:ascii="Times New Roman" w:hAnsi="Times New Roman" w:eastAsia="Times New Roman"/>
          <w:color w:val="000000"/>
          <w:sz w:val="24"/>
        </w:rPr>
        <w:t>, 108(2), 428–441. https://doi.org/10.1097/01.AOG.0000230214.26638.0c</w:t>
      </w:r>
    </w:p>
    <w:p>
      <w:pPr>
        <w:spacing w:line="360" w:lineRule="auto" w:after="0"/>
        <w:jc w:val="left"/>
      </w:pPr>
      <w:r>
        <w:rPr>
          <w:rFonts w:ascii="Times New Roman" w:hAnsi="Times New Roman" w:eastAsia="Times New Roman"/>
          <w:color w:val="000000"/>
          <w:sz w:val="24"/>
        </w:rPr>
        <w:t xml:space="preserve">Dawood, M. Y. (2006). Primary dysmenorrhea: advances in pathogenesis and management. </w:t>
      </w:r>
      <w:r>
        <w:rPr>
          <w:rFonts w:ascii="Times New Roman" w:hAnsi="Times New Roman" w:eastAsia="Times New Roman"/>
          <w:i/>
          <w:color w:val="000000"/>
          <w:sz w:val="24"/>
        </w:rPr>
        <w:t>Obstetrics and Gynecology</w:t>
      </w:r>
      <w:r>
        <w:rPr>
          <w:rFonts w:ascii="Times New Roman" w:hAnsi="Times New Roman" w:eastAsia="Times New Roman"/>
          <w:color w:val="000000"/>
          <w:sz w:val="24"/>
        </w:rPr>
        <w:t>, 108(2), 428–441. https://doi.org/10.1097/01.AOG.0000230214.26638.0c</w:t>
      </w:r>
    </w:p>
    <w:p>
      <w:pPr>
        <w:spacing w:line="360" w:lineRule="auto" w:after="0"/>
        <w:jc w:val="left"/>
      </w:pPr>
      <w:r>
        <w:rPr>
          <w:rFonts w:ascii="Times New Roman" w:hAnsi="Times New Roman" w:eastAsia="Times New Roman"/>
          <w:color w:val="000000"/>
          <w:sz w:val="24"/>
        </w:rPr>
        <w:t xml:space="preserve">De Sanctis, V., Soliman, A., Bernasconi, S., Bianchin, L., Bona, G., Bozzola, M., Buzi, F., De Sanctis, C., Tonini, G., Rigon, F., &amp; Perissinotto, E. (2015). Primary dysmenorrhea in adolescents: Prevalence, impact and recent knowledge. </w:t>
      </w:r>
      <w:r>
        <w:rPr>
          <w:rFonts w:ascii="Times New Roman" w:hAnsi="Times New Roman" w:eastAsia="Times New Roman"/>
          <w:i/>
          <w:color w:val="000000"/>
          <w:sz w:val="24"/>
        </w:rPr>
        <w:t>Pediatric Endocrinology Reviews</w:t>
      </w:r>
      <w:r>
        <w:rPr>
          <w:rFonts w:ascii="Times New Roman" w:hAnsi="Times New Roman" w:eastAsia="Times New Roman"/>
          <w:color w:val="000000"/>
          <w:sz w:val="24"/>
        </w:rPr>
        <w:t>, 13(2), 512–520. https://pubmed.ncbi.nlm.nih.gov/26841639/</w:t>
      </w:r>
    </w:p>
    <w:p>
      <w:pPr>
        <w:spacing w:line="360" w:lineRule="auto" w:after="0"/>
        <w:jc w:val="left"/>
      </w:pPr>
      <w:r>
        <w:rPr>
          <w:rFonts w:ascii="Times New Roman" w:hAnsi="Times New Roman" w:eastAsia="Times New Roman"/>
          <w:color w:val="000000"/>
          <w:sz w:val="24"/>
        </w:rPr>
        <w:t xml:space="preserve">Devkota, H. P., &amp; Devkota, S. (2022). Culinary spices in food and medicine: An overview of Syzygium aromaticum (L.) Merr. and L. M. Perry Myrtaceae. </w:t>
      </w:r>
      <w:r>
        <w:rPr>
          <w:rFonts w:ascii="Times New Roman" w:hAnsi="Times New Roman" w:eastAsia="Times New Roman"/>
          <w:i/>
          <w:color w:val="000000"/>
          <w:sz w:val="24"/>
        </w:rPr>
        <w:t>Frontiers in Pharmacology</w:t>
      </w:r>
      <w:r>
        <w:rPr>
          <w:rFonts w:ascii="Times New Roman" w:hAnsi="Times New Roman" w:eastAsia="Times New Roman"/>
          <w:color w:val="000000"/>
          <w:sz w:val="24"/>
        </w:rPr>
        <w:t>, 12, 793200. https://doi.org/10.3389/fphar.2021.793200</w:t>
      </w:r>
    </w:p>
    <w:p>
      <w:pPr>
        <w:spacing w:line="360" w:lineRule="auto" w:after="0"/>
        <w:jc w:val="left"/>
      </w:pPr>
      <w:r>
        <w:rPr>
          <w:rFonts w:ascii="Times New Roman" w:hAnsi="Times New Roman" w:eastAsia="Times New Roman"/>
          <w:color w:val="000000"/>
          <w:sz w:val="24"/>
        </w:rPr>
        <w:t xml:space="preserve">Dibazar, S. P., Fateh, S., &amp; Daneshmandi, S. (2015). Inhibition of inflammatory agent production by ethanol extract and eugenol of Syzygium aromaticum (L.) flower bud (clove) in LPS-stimulated Raw 264.7 cells. </w:t>
      </w:r>
      <w:r>
        <w:rPr>
          <w:rFonts w:ascii="Times New Roman" w:hAnsi="Times New Roman" w:eastAsia="Times New Roman"/>
          <w:i/>
          <w:color w:val="000000"/>
          <w:sz w:val="24"/>
        </w:rPr>
        <w:t>Research Journal of Medicinal Plants</w:t>
      </w:r>
      <w:r>
        <w:rPr>
          <w:rFonts w:ascii="Times New Roman" w:hAnsi="Times New Roman" w:eastAsia="Times New Roman"/>
          <w:color w:val="000000"/>
          <w:sz w:val="24"/>
        </w:rPr>
        <w:t>, 9(6), 264–274. https://doi.org/10.3923/rjmp.2015.264.274</w:t>
      </w:r>
    </w:p>
    <w:p>
      <w:pPr>
        <w:spacing w:line="360" w:lineRule="auto" w:after="0"/>
        <w:jc w:val="left"/>
      </w:pPr>
      <w:r>
        <w:rPr>
          <w:rFonts w:ascii="Times New Roman" w:hAnsi="Times New Roman" w:eastAsia="Times New Roman"/>
          <w:color w:val="000000"/>
          <w:sz w:val="24"/>
        </w:rPr>
        <w:t xml:space="preserve">Ding, Y., Gu, Z., Wang, Y., Wang, S., Chen, H., Zhang, H., ... &amp; Liu, J. (2021). The prevalence and risk factors of primary dysmenorrhea among female college students: A meta-analysis. </w:t>
      </w:r>
      <w:r>
        <w:rPr>
          <w:rFonts w:ascii="Times New Roman" w:hAnsi="Times New Roman" w:eastAsia="Times New Roman"/>
          <w:i/>
          <w:color w:val="000000"/>
          <w:sz w:val="24"/>
        </w:rPr>
        <w:t>Medicine</w:t>
      </w:r>
      <w:r>
        <w:rPr>
          <w:rFonts w:ascii="Times New Roman" w:hAnsi="Times New Roman" w:eastAsia="Times New Roman"/>
          <w:color w:val="000000"/>
          <w:sz w:val="24"/>
        </w:rPr>
        <w:t>, 100(28), e26633. https://doi.org/10.1097/MD.0000000000026633</w:t>
      </w:r>
    </w:p>
    <w:p>
      <w:pPr>
        <w:spacing w:line="360" w:lineRule="auto" w:after="0"/>
        <w:jc w:val="left"/>
      </w:pPr>
      <w:r>
        <w:rPr>
          <w:rFonts w:ascii="Times New Roman" w:hAnsi="Times New Roman" w:eastAsia="Times New Roman"/>
          <w:color w:val="000000"/>
          <w:sz w:val="24"/>
        </w:rPr>
        <w:t xml:space="preserve">Dobreva, D., &amp; Milcheva, R. (2021). GC-MS analysis of clove (Syzygium aromaticum L.) essential oil. </w:t>
      </w:r>
      <w:r>
        <w:rPr>
          <w:rFonts w:ascii="Times New Roman" w:hAnsi="Times New Roman" w:eastAsia="Times New Roman"/>
          <w:i/>
          <w:color w:val="000000"/>
          <w:sz w:val="24"/>
        </w:rPr>
        <w:t>Bulgarian Journal of Agricultural Science</w:t>
      </w:r>
      <w:r>
        <w:rPr>
          <w:rFonts w:ascii="Times New Roman" w:hAnsi="Times New Roman" w:eastAsia="Times New Roman"/>
          <w:color w:val="000000"/>
          <w:sz w:val="24"/>
        </w:rPr>
        <w:t>, 27(1), 187–191.</w:t>
      </w:r>
    </w:p>
    <w:p>
      <w:pPr>
        <w:spacing w:line="360" w:lineRule="auto" w:after="0"/>
        <w:jc w:val="left"/>
      </w:pPr>
      <w:r>
        <w:rPr>
          <w:rFonts w:ascii="Times New Roman" w:hAnsi="Times New Roman" w:eastAsia="Times New Roman"/>
          <w:color w:val="000000"/>
          <w:sz w:val="24"/>
        </w:rPr>
        <w:t xml:space="preserve">Dorman, H. J. D., &amp; Deans, S. G. (2000). Antimicrobial agents from plants: Antibacterial activity of plant volatile oils. </w:t>
      </w:r>
      <w:r>
        <w:rPr>
          <w:rFonts w:ascii="Times New Roman" w:hAnsi="Times New Roman" w:eastAsia="Times New Roman"/>
          <w:i/>
          <w:color w:val="000000"/>
          <w:sz w:val="24"/>
        </w:rPr>
        <w:t>Journal of Applied Microbiology</w:t>
      </w:r>
      <w:r>
        <w:rPr>
          <w:rFonts w:ascii="Times New Roman" w:hAnsi="Times New Roman" w:eastAsia="Times New Roman"/>
          <w:color w:val="000000"/>
          <w:sz w:val="24"/>
        </w:rPr>
        <w:t>, 88(2), 308–316. https://doi.org/10.1046/j.1365-2672.2000.00969.x</w:t>
      </w:r>
    </w:p>
    <w:p>
      <w:pPr>
        <w:spacing w:line="360" w:lineRule="auto" w:after="0"/>
        <w:jc w:val="left"/>
      </w:pPr>
      <w:r>
        <w:rPr>
          <w:rFonts w:ascii="Times New Roman" w:hAnsi="Times New Roman" w:eastAsia="Times New Roman"/>
          <w:color w:val="000000"/>
          <w:sz w:val="24"/>
        </w:rPr>
        <w:t xml:space="preserve">Eisenhut, M. (2024). Eugenol: A comprehensive review of its pharmacological properties and therapeutic potential. </w:t>
      </w:r>
      <w:r>
        <w:rPr>
          <w:rFonts w:ascii="Times New Roman" w:hAnsi="Times New Roman" w:eastAsia="Times New Roman"/>
          <w:i/>
          <w:color w:val="000000"/>
          <w:sz w:val="24"/>
        </w:rPr>
        <w:t>Pharmaceuticals</w:t>
      </w:r>
      <w:r>
        <w:rPr>
          <w:rFonts w:ascii="Times New Roman" w:hAnsi="Times New Roman" w:eastAsia="Times New Roman"/>
          <w:color w:val="000000"/>
          <w:sz w:val="24"/>
        </w:rPr>
        <w:t>, 17(1), 45. https://doi.org/10.3390/ph17010045</w:t>
      </w:r>
    </w:p>
    <w:p>
      <w:pPr>
        <w:spacing w:line="360" w:lineRule="auto" w:after="0"/>
        <w:jc w:val="left"/>
      </w:pPr>
      <w:r>
        <w:rPr>
          <w:rFonts w:ascii="Times New Roman" w:hAnsi="Times New Roman" w:eastAsia="Times New Roman"/>
          <w:color w:val="000000"/>
          <w:sz w:val="24"/>
        </w:rPr>
        <w:t xml:space="preserve">Ekpenyong, C. E., Davis, K. J., Akpan, U. P., &amp; Daniel, N. E. (2022). Dysmenorrhea: A review of current knowledge and management strategies. </w:t>
      </w:r>
      <w:r>
        <w:rPr>
          <w:rFonts w:ascii="Times New Roman" w:hAnsi="Times New Roman" w:eastAsia="Times New Roman"/>
          <w:i/>
          <w:color w:val="000000"/>
          <w:sz w:val="24"/>
        </w:rPr>
        <w:t>Journal of Obstetrics and Gynaecology</w:t>
      </w:r>
      <w:r>
        <w:rPr>
          <w:rFonts w:ascii="Times New Roman" w:hAnsi="Times New Roman" w:eastAsia="Times New Roman"/>
          <w:color w:val="000000"/>
          <w:sz w:val="24"/>
        </w:rPr>
        <w:t>, 42(5), 1033–1044. https://doi.org/10.1080/01443615.2021.2004104</w:t>
      </w:r>
    </w:p>
    <w:p>
      <w:pPr>
        <w:spacing w:line="360" w:lineRule="auto" w:after="0"/>
        <w:jc w:val="left"/>
      </w:pPr>
      <w:r>
        <w:rPr>
          <w:rFonts w:ascii="Times New Roman" w:hAnsi="Times New Roman" w:eastAsia="Times New Roman"/>
          <w:color w:val="000000"/>
          <w:sz w:val="24"/>
        </w:rPr>
        <w:t xml:space="preserve">El-Ghallab, O., Abo-Elkheer, M., &amp; El-Massry, K. F. (2020). GC-MS analysis of essential oil of clove (Syzygium aromaticum). </w:t>
      </w:r>
      <w:r>
        <w:rPr>
          <w:rFonts w:ascii="Times New Roman" w:hAnsi="Times New Roman" w:eastAsia="Times New Roman"/>
          <w:i/>
          <w:color w:val="000000"/>
          <w:sz w:val="24"/>
        </w:rPr>
        <w:t>Journal of Essential Oil Bearing Plants</w:t>
      </w:r>
      <w:r>
        <w:rPr>
          <w:rFonts w:ascii="Times New Roman" w:hAnsi="Times New Roman" w:eastAsia="Times New Roman"/>
          <w:color w:val="000000"/>
          <w:sz w:val="24"/>
        </w:rPr>
        <w:t>, 23(3), 589–596. https://doi.org/10.1080/0972060X.2020.1794994</w:t>
      </w:r>
    </w:p>
    <w:p>
      <w:pPr>
        <w:spacing w:line="360" w:lineRule="auto" w:after="0"/>
        <w:jc w:val="left"/>
      </w:pPr>
      <w:r>
        <w:rPr>
          <w:rFonts w:ascii="Times New Roman" w:hAnsi="Times New Roman" w:eastAsia="Times New Roman"/>
          <w:color w:val="000000"/>
          <w:sz w:val="24"/>
        </w:rPr>
        <w:t xml:space="preserve">Elwakeel, H. A., Moneim, H. A., Farid, M., &amp; Gohar, A. A. (2007). Clove oil cream: A new effective treatment for chronic anal fissure. </w:t>
      </w:r>
      <w:r>
        <w:rPr>
          <w:rFonts w:ascii="Times New Roman" w:hAnsi="Times New Roman" w:eastAsia="Times New Roman"/>
          <w:i/>
          <w:color w:val="000000"/>
          <w:sz w:val="24"/>
        </w:rPr>
        <w:t>Colorectal Disease</w:t>
      </w:r>
      <w:r>
        <w:rPr>
          <w:rFonts w:ascii="Times New Roman" w:hAnsi="Times New Roman" w:eastAsia="Times New Roman"/>
          <w:color w:val="000000"/>
          <w:sz w:val="24"/>
        </w:rPr>
        <w:t>, 9(6), 549–552. https://doi.org/10.1111/j.1463-1318.2006.01185.x</w:t>
      </w:r>
    </w:p>
    <w:p>
      <w:pPr>
        <w:spacing w:line="360" w:lineRule="auto" w:after="0"/>
        <w:jc w:val="left"/>
      </w:pPr>
      <w:r>
        <w:rPr>
          <w:rFonts w:ascii="Times New Roman" w:hAnsi="Times New Roman" w:eastAsia="Times New Roman"/>
          <w:color w:val="000000"/>
          <w:sz w:val="24"/>
        </w:rPr>
        <w:t xml:space="preserve">Esmaeili, F., Asefi, N., &amp; Eslami, M. (2022). Anti-inflammatory and anti-nociceptive effects of cinnamon and clove essential oils nanogels: An in vivo study. </w:t>
      </w:r>
      <w:r>
        <w:rPr>
          <w:rFonts w:ascii="Times New Roman" w:hAnsi="Times New Roman" w:eastAsia="Times New Roman"/>
          <w:i/>
          <w:color w:val="000000"/>
          <w:sz w:val="24"/>
        </w:rPr>
        <w:t>BMC Complementary Medicine and Therapies</w:t>
      </w:r>
      <w:r>
        <w:rPr>
          <w:rFonts w:ascii="Times New Roman" w:hAnsi="Times New Roman" w:eastAsia="Times New Roman"/>
          <w:color w:val="000000"/>
          <w:sz w:val="24"/>
        </w:rPr>
        <w:t>, 22, 143. https://doi.org/10.1186/s12906-022-03619-9</w:t>
      </w:r>
    </w:p>
    <w:p>
      <w:pPr>
        <w:spacing w:line="360" w:lineRule="auto" w:after="0"/>
        <w:jc w:val="left"/>
      </w:pPr>
      <w:r>
        <w:rPr>
          <w:rFonts w:ascii="Times New Roman" w:hAnsi="Times New Roman" w:eastAsia="Times New Roman"/>
          <w:color w:val="000000"/>
          <w:sz w:val="24"/>
        </w:rPr>
        <w:t xml:space="preserve">European Medicines Agency (EMA). (2011). Final assessment report on Syzygium aromaticum (L.) Merill et L. M. Perry, flos and Syzygium aromaticum (L.) Merill et L. M. Perry, floris aetheroleum. </w:t>
      </w:r>
      <w:r>
        <w:rPr>
          <w:rFonts w:ascii="Times New Roman" w:hAnsi="Times New Roman" w:eastAsia="Times New Roman"/>
          <w:i/>
          <w:color w:val="000000"/>
          <w:sz w:val="24"/>
        </w:rPr>
        <w:t>EMA/HMPC/534946/2010</w:t>
      </w:r>
      <w:r>
        <w:rPr>
          <w:rFonts w:ascii="Times New Roman" w:hAnsi="Times New Roman" w:eastAsia="Times New Roman"/>
          <w:color w:val="000000"/>
          <w:sz w:val="24"/>
        </w:rPr>
        <w:t>. https://www.ema.europa.eu/en/documents/herbal-report/final-assessment-report-syzygium-aromaticum-l-merill-et-lm-perry-flos-and-syzygium-aromaticum-l-merill-et-lm-perry-floris-aetheroleum_en.pdf</w:t>
      </w:r>
    </w:p>
    <w:p>
      <w:pPr>
        <w:spacing w:line="360" w:lineRule="auto" w:after="0"/>
        <w:jc w:val="left"/>
      </w:pPr>
      <w:r>
        <w:rPr>
          <w:rFonts w:ascii="Times New Roman" w:hAnsi="Times New Roman" w:eastAsia="Times New Roman"/>
          <w:color w:val="000000"/>
          <w:sz w:val="24"/>
        </w:rPr>
        <w:t xml:space="preserve">Ezebialu, I. U., Ezenyeaku, C. C., &amp; Umeobika, J. C. (2021). Prevalence of dysmenorrhea and its contribution to school absenteeism among Nigerian undergraduate students. </w:t>
      </w:r>
      <w:r>
        <w:rPr>
          <w:rFonts w:ascii="Times New Roman" w:hAnsi="Times New Roman" w:eastAsia="Times New Roman"/>
          <w:i/>
          <w:color w:val="000000"/>
          <w:sz w:val="24"/>
        </w:rPr>
        <w:t>Annals of Health Research</w:t>
      </w:r>
      <w:r>
        <w:rPr>
          <w:rFonts w:ascii="Times New Roman" w:hAnsi="Times New Roman" w:eastAsia="Times New Roman"/>
          <w:color w:val="000000"/>
          <w:sz w:val="24"/>
        </w:rPr>
        <w:t>, 7(1), 59–66. https://doi.org/10.30442/ahr.0701-07-116</w:t>
      </w:r>
    </w:p>
    <w:p>
      <w:pPr>
        <w:spacing w:line="360" w:lineRule="auto" w:after="0"/>
        <w:jc w:val="left"/>
      </w:pPr>
      <w:r>
        <w:rPr>
          <w:rFonts w:ascii="Times New Roman" w:hAnsi="Times New Roman" w:eastAsia="Times New Roman"/>
          <w:color w:val="000000"/>
          <w:sz w:val="24"/>
        </w:rPr>
        <w:t xml:space="preserve">Feng, J., Luo, J., Wang, J., &amp; Zhang, Y. (2023). Eugenol: A potential natural product for the treatment of inflammatory diseases. </w:t>
      </w:r>
      <w:r>
        <w:rPr>
          <w:rFonts w:ascii="Times New Roman" w:hAnsi="Times New Roman" w:eastAsia="Times New Roman"/>
          <w:i/>
          <w:color w:val="000000"/>
          <w:sz w:val="24"/>
        </w:rPr>
        <w:t>Frontiers in Pharmacology</w:t>
      </w:r>
      <w:r>
        <w:rPr>
          <w:rFonts w:ascii="Times New Roman" w:hAnsi="Times New Roman" w:eastAsia="Times New Roman"/>
          <w:color w:val="000000"/>
          <w:sz w:val="24"/>
        </w:rPr>
        <w:t>, 14, 1185412. https://doi.org/10.3389/fphar.2023.1185412</w:t>
      </w:r>
    </w:p>
    <w:p>
      <w:pPr>
        <w:spacing w:line="360" w:lineRule="auto" w:after="0"/>
        <w:jc w:val="left"/>
      </w:pPr>
      <w:r>
        <w:rPr>
          <w:rFonts w:ascii="Times New Roman" w:hAnsi="Times New Roman" w:eastAsia="Times New Roman"/>
          <w:color w:val="000000"/>
          <w:sz w:val="24"/>
        </w:rPr>
        <w:t xml:space="preserve">Feng, X., Wang, X., &amp; Zhou, Y. (2018). Comparison of the efficacy and safety of non-steroidal anti-inflammatory drugs for patients with primary dysmenorrhea: A network meta-analysis. </w:t>
      </w:r>
      <w:r>
        <w:rPr>
          <w:rFonts w:ascii="Times New Roman" w:hAnsi="Times New Roman" w:eastAsia="Times New Roman"/>
          <w:i/>
          <w:color w:val="000000"/>
          <w:sz w:val="24"/>
        </w:rPr>
        <w:t>Molecular Pain</w:t>
      </w:r>
      <w:r>
        <w:rPr>
          <w:rFonts w:ascii="Times New Roman" w:hAnsi="Times New Roman" w:eastAsia="Times New Roman"/>
          <w:color w:val="000000"/>
          <w:sz w:val="24"/>
        </w:rPr>
        <w:t>, 14, 1744806918770320. https://doi.org/10.1177/1744806918770320</w:t>
      </w:r>
    </w:p>
    <w:p>
      <w:pPr>
        <w:spacing w:line="360" w:lineRule="auto" w:after="0"/>
        <w:jc w:val="left"/>
      </w:pPr>
      <w:r>
        <w:rPr>
          <w:rFonts w:ascii="Times New Roman" w:hAnsi="Times New Roman" w:eastAsia="Times New Roman"/>
          <w:color w:val="000000"/>
          <w:sz w:val="24"/>
        </w:rPr>
        <w:t xml:space="preserve">Ferries-Rowe, E., Corey, E., &amp; Archer, D. F. (2020). Primary Dysmenorrhea: Diagnosis and Therapy. </w:t>
      </w:r>
      <w:r>
        <w:rPr>
          <w:rFonts w:ascii="Times New Roman" w:hAnsi="Times New Roman" w:eastAsia="Times New Roman"/>
          <w:i/>
          <w:color w:val="000000"/>
          <w:sz w:val="24"/>
        </w:rPr>
        <w:t>Obstetrics and Gynecology</w:t>
      </w:r>
      <w:r>
        <w:rPr>
          <w:rFonts w:ascii="Times New Roman" w:hAnsi="Times New Roman" w:eastAsia="Times New Roman"/>
          <w:color w:val="000000"/>
          <w:sz w:val="24"/>
        </w:rPr>
        <w:t>, 136(5), 1047–1058. https://doi.org/10.1097/AOG.0000000000004096</w:t>
      </w:r>
    </w:p>
    <w:p>
      <w:pPr>
        <w:spacing w:line="360" w:lineRule="auto" w:after="0"/>
        <w:jc w:val="left"/>
      </w:pPr>
      <w:r>
        <w:rPr>
          <w:rFonts w:ascii="Times New Roman" w:hAnsi="Times New Roman" w:eastAsia="Times New Roman"/>
          <w:color w:val="000000"/>
          <w:sz w:val="24"/>
        </w:rPr>
        <w:t xml:space="preserve">Ferries-Rowe, E., Corey, E., &amp; Archer, J. S. (2020). Primary dysmenorrhea: Diagnosis and therapy. </w:t>
      </w:r>
      <w:r>
        <w:rPr>
          <w:rFonts w:ascii="Times New Roman" w:hAnsi="Times New Roman" w:eastAsia="Times New Roman"/>
          <w:i/>
          <w:color w:val="000000"/>
          <w:sz w:val="24"/>
        </w:rPr>
        <w:t>Obstetrics &amp; Gynecology</w:t>
      </w:r>
      <w:r>
        <w:rPr>
          <w:rFonts w:ascii="Times New Roman" w:hAnsi="Times New Roman" w:eastAsia="Times New Roman"/>
          <w:color w:val="000000"/>
          <w:sz w:val="24"/>
        </w:rPr>
        <w:t>, 136(5), 1047–1058. https://doi.org/10.1097/AOG.0000000000004096</w:t>
      </w:r>
    </w:p>
    <w:p>
      <w:pPr>
        <w:spacing w:line="360" w:lineRule="auto" w:after="0"/>
        <w:jc w:val="left"/>
      </w:pPr>
      <w:r>
        <w:rPr>
          <w:rFonts w:ascii="Times New Roman" w:hAnsi="Times New Roman" w:eastAsia="Times New Roman"/>
          <w:color w:val="000000"/>
          <w:sz w:val="24"/>
        </w:rPr>
        <w:t xml:space="preserve">Fischer, I. U., von Unruh, G. E., &amp; Dengler, H. J. (1990). The metabolism of eugenol in man. </w:t>
      </w:r>
      <w:r>
        <w:rPr>
          <w:rFonts w:ascii="Times New Roman" w:hAnsi="Times New Roman" w:eastAsia="Times New Roman"/>
          <w:i/>
          <w:color w:val="000000"/>
          <w:sz w:val="24"/>
        </w:rPr>
        <w:t>Xenobiotica</w:t>
      </w:r>
      <w:r>
        <w:rPr>
          <w:rFonts w:ascii="Times New Roman" w:hAnsi="Times New Roman" w:eastAsia="Times New Roman"/>
          <w:color w:val="000000"/>
          <w:sz w:val="24"/>
        </w:rPr>
        <w:t>, 20(2), 209–222. https://doi.org/10.3109/00498259009046865</w:t>
      </w:r>
    </w:p>
    <w:p>
      <w:pPr>
        <w:spacing w:line="360" w:lineRule="auto" w:after="0"/>
        <w:jc w:val="left"/>
      </w:pPr>
      <w:r>
        <w:rPr>
          <w:rFonts w:ascii="Times New Roman" w:hAnsi="Times New Roman" w:eastAsia="Times New Roman"/>
          <w:color w:val="000000"/>
          <w:sz w:val="24"/>
        </w:rPr>
        <w:t xml:space="preserve">Flower, R. J. (2003). The development of COX-2 inhibitors. </w:t>
      </w:r>
      <w:r>
        <w:rPr>
          <w:rFonts w:ascii="Times New Roman" w:hAnsi="Times New Roman" w:eastAsia="Times New Roman"/>
          <w:i/>
          <w:color w:val="000000"/>
          <w:sz w:val="24"/>
        </w:rPr>
        <w:t>Nature Reviews Drug Discovery</w:t>
      </w:r>
      <w:r>
        <w:rPr>
          <w:rFonts w:ascii="Times New Roman" w:hAnsi="Times New Roman" w:eastAsia="Times New Roman"/>
          <w:color w:val="000000"/>
          <w:sz w:val="24"/>
        </w:rPr>
        <w:t>, 2(3), 179–191. https://doi.org/10.1038/nrd1034</w:t>
      </w:r>
    </w:p>
    <w:p>
      <w:pPr>
        <w:spacing w:line="360" w:lineRule="auto" w:after="0"/>
        <w:jc w:val="left"/>
      </w:pPr>
      <w:r>
        <w:rPr>
          <w:rFonts w:ascii="Times New Roman" w:hAnsi="Times New Roman" w:eastAsia="Times New Roman"/>
          <w:color w:val="000000"/>
          <w:sz w:val="24"/>
        </w:rPr>
        <w:t xml:space="preserve">Fuchs, A. R., Fuchs, F., Husslein, P., &amp; Soloff, M. S. (2002). Involvement of oxytocin and vasopressin in the pathophysiology of preterm labor and primary dysmenorrhea. </w:t>
      </w:r>
      <w:r>
        <w:rPr>
          <w:rFonts w:ascii="Times New Roman" w:hAnsi="Times New Roman" w:eastAsia="Times New Roman"/>
          <w:i/>
          <w:color w:val="000000"/>
          <w:sz w:val="24"/>
        </w:rPr>
        <w:t>Acta Obstetricia et Gynecologica Scandinavica</w:t>
      </w:r>
      <w:r>
        <w:rPr>
          <w:rFonts w:ascii="Times New Roman" w:hAnsi="Times New Roman" w:eastAsia="Times New Roman"/>
          <w:color w:val="000000"/>
          <w:sz w:val="24"/>
        </w:rPr>
        <w:t>, 81(12), 1109–1117. https://doi.org/10.1034/j.1600-0412.2002.811202.x</w:t>
      </w:r>
    </w:p>
    <w:p>
      <w:pPr>
        <w:spacing w:line="360" w:lineRule="auto" w:after="0"/>
        <w:jc w:val="left"/>
      </w:pPr>
      <w:r>
        <w:rPr>
          <w:rFonts w:ascii="Times New Roman" w:hAnsi="Times New Roman" w:eastAsia="Times New Roman"/>
          <w:color w:val="000000"/>
          <w:sz w:val="24"/>
        </w:rPr>
        <w:t xml:space="preserve">Gaytán, M., de la Torre, M. A., &amp; Morales-Ríos, M. S. (2019). Eugenol: A review of its pharmacological properties and potential therapeutic applications. </w:t>
      </w:r>
      <w:r>
        <w:rPr>
          <w:rFonts w:ascii="Times New Roman" w:hAnsi="Times New Roman" w:eastAsia="Times New Roman"/>
          <w:i/>
          <w:color w:val="000000"/>
          <w:sz w:val="24"/>
        </w:rPr>
        <w:t>Mini-Reviews in Medicinal Chemistry</w:t>
      </w:r>
      <w:r>
        <w:rPr>
          <w:rFonts w:ascii="Times New Roman" w:hAnsi="Times New Roman" w:eastAsia="Times New Roman"/>
          <w:color w:val="000000"/>
          <w:sz w:val="24"/>
        </w:rPr>
        <w:t>, 19(6), 471–481. https://doi.org/10.2174/1389557518666181022120248</w:t>
      </w:r>
    </w:p>
    <w:p>
      <w:pPr>
        <w:spacing w:line="360" w:lineRule="auto" w:after="0"/>
        <w:jc w:val="left"/>
      </w:pPr>
      <w:r>
        <w:rPr>
          <w:rFonts w:ascii="Times New Roman" w:hAnsi="Times New Roman" w:eastAsia="Times New Roman"/>
          <w:color w:val="000000"/>
          <w:sz w:val="24"/>
        </w:rPr>
        <w:t xml:space="preserve">Gopalakrishnan, M., Narayanan, C. S., &amp; Mathew, A. G. (1984). Chemical composition of Indian clove bud oil. </w:t>
      </w:r>
      <w:r>
        <w:rPr>
          <w:rFonts w:ascii="Times New Roman" w:hAnsi="Times New Roman" w:eastAsia="Times New Roman"/>
          <w:i/>
          <w:color w:val="000000"/>
          <w:sz w:val="24"/>
        </w:rPr>
        <w:t>Indian Perfumer</w:t>
      </w:r>
      <w:r>
        <w:rPr>
          <w:rFonts w:ascii="Times New Roman" w:hAnsi="Times New Roman" w:eastAsia="Times New Roman"/>
          <w:color w:val="000000"/>
          <w:sz w:val="24"/>
        </w:rPr>
        <w:t>, 28(3–4), 144–146.</w:t>
      </w:r>
    </w:p>
    <w:p>
      <w:pPr>
        <w:spacing w:line="360" w:lineRule="auto" w:after="0"/>
        <w:jc w:val="left"/>
      </w:pPr>
      <w:r>
        <w:rPr>
          <w:rFonts w:ascii="Times New Roman" w:hAnsi="Times New Roman" w:eastAsia="Times New Roman"/>
          <w:color w:val="000000"/>
          <w:sz w:val="24"/>
        </w:rPr>
        <w:t xml:space="preserve">Gorji, A., &amp; Khaleghi Ghadiri, M. (2021). History of dysmenorrhea: From ancient times to the present. </w:t>
      </w:r>
      <w:r>
        <w:rPr>
          <w:rFonts w:ascii="Times New Roman" w:hAnsi="Times New Roman" w:eastAsia="Times New Roman"/>
          <w:i/>
          <w:color w:val="000000"/>
          <w:sz w:val="24"/>
        </w:rPr>
        <w:t>Journal of the History of Medicine and Allied Sciences</w:t>
      </w:r>
      <w:r>
        <w:rPr>
          <w:rFonts w:ascii="Times New Roman" w:hAnsi="Times New Roman" w:eastAsia="Times New Roman"/>
          <w:color w:val="000000"/>
          <w:sz w:val="24"/>
        </w:rPr>
        <w:t>, 76(2), 163–185. https://doi.org/10.1093/jhmas/jrab001</w:t>
      </w:r>
    </w:p>
    <w:p>
      <w:pPr>
        <w:spacing w:line="360" w:lineRule="auto" w:after="0"/>
        <w:jc w:val="left"/>
      </w:pPr>
      <w:r>
        <w:rPr>
          <w:rFonts w:ascii="Times New Roman" w:hAnsi="Times New Roman" w:eastAsia="Times New Roman"/>
          <w:color w:val="000000"/>
          <w:sz w:val="24"/>
        </w:rPr>
        <w:t xml:space="preserve">Gouda, M. R., &amp; Srivastav, S. K. (2022). Eugenol: A natural analgesic and anti-inflammatory agent. </w:t>
      </w:r>
      <w:r>
        <w:rPr>
          <w:rFonts w:ascii="Times New Roman" w:hAnsi="Times New Roman" w:eastAsia="Times New Roman"/>
          <w:i/>
          <w:color w:val="000000"/>
          <w:sz w:val="24"/>
        </w:rPr>
        <w:t>Natural Product Research</w:t>
      </w:r>
      <w:r>
        <w:rPr>
          <w:rFonts w:ascii="Times New Roman" w:hAnsi="Times New Roman" w:eastAsia="Times New Roman"/>
          <w:color w:val="000000"/>
          <w:sz w:val="24"/>
        </w:rPr>
        <w:t>, 36(10), 2570–2583. https://doi.org/10.1080/14786419.2021.1903019</w:t>
      </w:r>
    </w:p>
    <w:p>
      <w:pPr>
        <w:spacing w:line="360" w:lineRule="auto" w:after="0"/>
        <w:jc w:val="left"/>
      </w:pPr>
      <w:r>
        <w:rPr>
          <w:rFonts w:ascii="Times New Roman" w:hAnsi="Times New Roman" w:eastAsia="Times New Roman"/>
          <w:color w:val="000000"/>
          <w:sz w:val="24"/>
        </w:rPr>
        <w:t xml:space="preserve">Graves, G. (2019). OECD guideline 423: Acute oral toxicity testing in drug development. </w:t>
      </w:r>
      <w:r>
        <w:rPr>
          <w:rFonts w:ascii="Times New Roman" w:hAnsi="Times New Roman" w:eastAsia="Times New Roman"/>
          <w:i/>
          <w:color w:val="000000"/>
          <w:sz w:val="24"/>
        </w:rPr>
        <w:t>Regulatory Toxicology and Pharmacology</w:t>
      </w:r>
      <w:r>
        <w:rPr>
          <w:rFonts w:ascii="Times New Roman" w:hAnsi="Times New Roman" w:eastAsia="Times New Roman"/>
          <w:color w:val="000000"/>
          <w:sz w:val="24"/>
        </w:rPr>
        <w:t>, 108, 104456. https://doi.org/10.1016/j.yrtph.2019.104456</w:t>
      </w:r>
    </w:p>
    <w:p>
      <w:pPr>
        <w:spacing w:line="360" w:lineRule="auto" w:after="0"/>
        <w:jc w:val="left"/>
      </w:pPr>
      <w:r>
        <w:rPr>
          <w:rFonts w:ascii="Times New Roman" w:hAnsi="Times New Roman" w:eastAsia="Times New Roman"/>
          <w:color w:val="000000"/>
          <w:sz w:val="24"/>
        </w:rPr>
        <w:t xml:space="preserve">Guenette, S. A., Beaudry, F., Marier, J. F., &amp; Vachon, P. (2006). Pharmacokinetics and anesthetic activity of eugenol in male Sprague-Dawley rats. </w:t>
      </w:r>
      <w:r>
        <w:rPr>
          <w:rFonts w:ascii="Times New Roman" w:hAnsi="Times New Roman" w:eastAsia="Times New Roman"/>
          <w:i/>
          <w:color w:val="000000"/>
          <w:sz w:val="24"/>
        </w:rPr>
        <w:t>Journal of Veterinary Pharmacology and Therapeutics</w:t>
      </w:r>
      <w:r>
        <w:rPr>
          <w:rFonts w:ascii="Times New Roman" w:hAnsi="Times New Roman" w:eastAsia="Times New Roman"/>
          <w:color w:val="000000"/>
          <w:sz w:val="24"/>
        </w:rPr>
        <w:t>, 29(4), 265–270. https://doi.org/10.1111/j.1365-2885.2006.00740.x</w:t>
      </w:r>
    </w:p>
    <w:p>
      <w:pPr>
        <w:spacing w:line="360" w:lineRule="auto" w:after="0"/>
        <w:jc w:val="left"/>
      </w:pPr>
      <w:r>
        <w:rPr>
          <w:rFonts w:ascii="Times New Roman" w:hAnsi="Times New Roman" w:eastAsia="Times New Roman"/>
          <w:color w:val="000000"/>
          <w:sz w:val="24"/>
        </w:rPr>
        <w:t xml:space="preserve">Guimarães, A. G., Quintans, J. S. S., &amp; Quintans-Júnior, L. J. (2013). Monoterpenes with analgesic activity—a systematic review. </w:t>
      </w:r>
      <w:r>
        <w:rPr>
          <w:rFonts w:ascii="Times New Roman" w:hAnsi="Times New Roman" w:eastAsia="Times New Roman"/>
          <w:i/>
          <w:color w:val="000000"/>
          <w:sz w:val="24"/>
        </w:rPr>
        <w:t>Phytotherapy Research</w:t>
      </w:r>
      <w:r>
        <w:rPr>
          <w:rFonts w:ascii="Times New Roman" w:hAnsi="Times New Roman" w:eastAsia="Times New Roman"/>
          <w:color w:val="000000"/>
          <w:sz w:val="24"/>
        </w:rPr>
        <w:t>, 27(1), 1–15. https://doi.org/10.1002/ptr.4686</w:t>
      </w:r>
    </w:p>
    <w:p>
      <w:pPr>
        <w:spacing w:line="360" w:lineRule="auto" w:after="0"/>
        <w:jc w:val="left"/>
      </w:pPr>
      <w:r>
        <w:rPr>
          <w:rFonts w:ascii="Times New Roman" w:hAnsi="Times New Roman" w:eastAsia="Times New Roman"/>
          <w:color w:val="000000"/>
          <w:sz w:val="24"/>
        </w:rPr>
        <w:t xml:space="preserve">Gülçin, İ. (2011). Antioxidant activity of eugenol: A structure–activity relationship study. </w:t>
      </w:r>
      <w:r>
        <w:rPr>
          <w:rFonts w:ascii="Times New Roman" w:hAnsi="Times New Roman" w:eastAsia="Times New Roman"/>
          <w:i/>
          <w:color w:val="000000"/>
          <w:sz w:val="24"/>
        </w:rPr>
        <w:t>Journal of Medicinal Food</w:t>
      </w:r>
      <w:r>
        <w:rPr>
          <w:rFonts w:ascii="Times New Roman" w:hAnsi="Times New Roman" w:eastAsia="Times New Roman"/>
          <w:color w:val="000000"/>
          <w:sz w:val="24"/>
        </w:rPr>
        <w:t>, 14(9), 975–985. https://doi.org/10.1089/jmf.2010.0197</w:t>
      </w:r>
    </w:p>
    <w:p>
      <w:pPr>
        <w:spacing w:line="360" w:lineRule="auto" w:after="0"/>
        <w:jc w:val="left"/>
      </w:pPr>
      <w:r>
        <w:rPr>
          <w:rFonts w:ascii="Times New Roman" w:hAnsi="Times New Roman" w:eastAsia="Times New Roman"/>
          <w:color w:val="000000"/>
          <w:sz w:val="24"/>
        </w:rPr>
        <w:t xml:space="preserve">Halder, S., Mehta, A. K., &amp; Mediratta, P. K. (2011). Acute effect of essential oil of Eugenia caryophyllata on cognition and pain in mice. </w:t>
      </w:r>
      <w:r>
        <w:rPr>
          <w:rFonts w:ascii="Times New Roman" w:hAnsi="Times New Roman" w:eastAsia="Times New Roman"/>
          <w:i/>
          <w:color w:val="000000"/>
          <w:sz w:val="24"/>
        </w:rPr>
        <w:t>Naunyn-Schmiedeberg's Archives of Pharmacology</w:t>
      </w:r>
      <w:r>
        <w:rPr>
          <w:rFonts w:ascii="Times New Roman" w:hAnsi="Times New Roman" w:eastAsia="Times New Roman"/>
          <w:color w:val="000000"/>
          <w:sz w:val="24"/>
        </w:rPr>
        <w:t>, 384(3), 243–251. https://doi.org/10.1007/s00210-012-0742-2</w:t>
      </w:r>
    </w:p>
    <w:p>
      <w:pPr>
        <w:spacing w:line="360" w:lineRule="auto" w:after="0"/>
        <w:jc w:val="left"/>
      </w:pPr>
      <w:r>
        <w:rPr>
          <w:rFonts w:ascii="Times New Roman" w:hAnsi="Times New Roman" w:eastAsia="Times New Roman"/>
          <w:color w:val="000000"/>
          <w:sz w:val="24"/>
        </w:rPr>
        <w:t xml:space="preserve">Harel, Z. (2006). Dysmenorrhea in adolescents and young adults: Etiology and management. </w:t>
      </w:r>
      <w:r>
        <w:rPr>
          <w:rFonts w:ascii="Times New Roman" w:hAnsi="Times New Roman" w:eastAsia="Times New Roman"/>
          <w:i/>
          <w:color w:val="000000"/>
          <w:sz w:val="24"/>
        </w:rPr>
        <w:t>Journal of Pediatric and Adolescent Gynecology</w:t>
      </w:r>
      <w:r>
        <w:rPr>
          <w:rFonts w:ascii="Times New Roman" w:hAnsi="Times New Roman" w:eastAsia="Times New Roman"/>
          <w:color w:val="000000"/>
          <w:sz w:val="24"/>
        </w:rPr>
        <w:t>, 19(6), 363–371. https://doi.org/10.1016/j.jpag.2006.09.001</w:t>
      </w:r>
    </w:p>
    <w:p>
      <w:pPr>
        <w:spacing w:line="360" w:lineRule="auto" w:after="0"/>
        <w:jc w:val="left"/>
      </w:pPr>
      <w:r>
        <w:rPr>
          <w:rFonts w:ascii="Times New Roman" w:hAnsi="Times New Roman" w:eastAsia="Times New Roman"/>
          <w:color w:val="000000"/>
          <w:sz w:val="24"/>
        </w:rPr>
        <w:t xml:space="preserve">Harel, Z. (2008). Dysmenorrhea in adolescents. </w:t>
      </w:r>
      <w:r>
        <w:rPr>
          <w:rFonts w:ascii="Times New Roman" w:hAnsi="Times New Roman" w:eastAsia="Times New Roman"/>
          <w:i/>
          <w:color w:val="000000"/>
          <w:sz w:val="24"/>
        </w:rPr>
        <w:t>Annals of the New York Academy of Sciences</w:t>
      </w:r>
      <w:r>
        <w:rPr>
          <w:rFonts w:ascii="Times New Roman" w:hAnsi="Times New Roman" w:eastAsia="Times New Roman"/>
          <w:color w:val="000000"/>
          <w:sz w:val="24"/>
        </w:rPr>
        <w:t>, 1135, 185–195. https://doi.org/10.1196/annals.1429.007</w:t>
      </w:r>
    </w:p>
    <w:p>
      <w:pPr>
        <w:spacing w:line="360" w:lineRule="auto" w:after="0"/>
        <w:jc w:val="left"/>
      </w:pPr>
      <w:r>
        <w:rPr>
          <w:rFonts w:ascii="Times New Roman" w:hAnsi="Times New Roman" w:eastAsia="Times New Roman"/>
          <w:color w:val="000000"/>
          <w:sz w:val="24"/>
        </w:rPr>
        <w:t xml:space="preserve">Haro-González, J. N., Castillo-Herrera, G. A., Martínez-Velázquez, M., &amp; Espinosa-Andrews, H. (2021). Clove essential oil (Syzygium aromaticum L. Myrtaceae): Extraction, chemical composition, food applications, and essential bioactivity for human health. </w:t>
      </w:r>
      <w:r>
        <w:rPr>
          <w:rFonts w:ascii="Times New Roman" w:hAnsi="Times New Roman" w:eastAsia="Times New Roman"/>
          <w:i/>
          <w:color w:val="000000"/>
          <w:sz w:val="24"/>
        </w:rPr>
        <w:t>Molecules</w:t>
      </w:r>
      <w:r>
        <w:rPr>
          <w:rFonts w:ascii="Times New Roman" w:hAnsi="Times New Roman" w:eastAsia="Times New Roman"/>
          <w:color w:val="000000"/>
          <w:sz w:val="24"/>
        </w:rPr>
        <w:t>, 26(21), 6387. https://doi.org/10.3390/molecules26216387</w:t>
      </w:r>
    </w:p>
    <w:p>
      <w:pPr>
        <w:spacing w:line="360" w:lineRule="auto" w:after="0"/>
        <w:jc w:val="left"/>
      </w:pPr>
      <w:r>
        <w:rPr>
          <w:rFonts w:ascii="Times New Roman" w:hAnsi="Times New Roman" w:eastAsia="Times New Roman"/>
          <w:color w:val="000000"/>
          <w:sz w:val="24"/>
        </w:rPr>
        <w:t xml:space="preserve">Hartmann, D. A., &amp; Mohamed, M. (2021). Animal models of primary dysmenorrhea: A comprehensive review. </w:t>
      </w:r>
      <w:r>
        <w:rPr>
          <w:rFonts w:ascii="Times New Roman" w:hAnsi="Times New Roman" w:eastAsia="Times New Roman"/>
          <w:i/>
          <w:color w:val="000000"/>
          <w:sz w:val="24"/>
        </w:rPr>
        <w:t>Life Sciences</w:t>
      </w:r>
      <w:r>
        <w:rPr>
          <w:rFonts w:ascii="Times New Roman" w:hAnsi="Times New Roman" w:eastAsia="Times New Roman"/>
          <w:color w:val="000000"/>
          <w:sz w:val="24"/>
        </w:rPr>
        <w:t>, 285, 119955. https://doi.org/10.1016/j.lfs.2021.119955</w:t>
      </w:r>
    </w:p>
    <w:p>
      <w:pPr>
        <w:spacing w:line="360" w:lineRule="auto" w:after="0"/>
        <w:jc w:val="left"/>
      </w:pPr>
      <w:r>
        <w:rPr>
          <w:rFonts w:ascii="Times New Roman" w:hAnsi="Times New Roman" w:eastAsia="Times New Roman"/>
          <w:color w:val="000000"/>
          <w:sz w:val="24"/>
        </w:rPr>
        <w:t xml:space="preserve">He, J., Liu, J., &amp; Huang, X. (2022). Role of prostaglandins in primary dysmenorrhea: Mechanisms and therapeutic implications. </w:t>
      </w:r>
      <w:r>
        <w:rPr>
          <w:rFonts w:ascii="Times New Roman" w:hAnsi="Times New Roman" w:eastAsia="Times New Roman"/>
          <w:i/>
          <w:color w:val="000000"/>
          <w:sz w:val="24"/>
        </w:rPr>
        <w:t>Prostaglandins &amp; Other Lipid Mediators</w:t>
      </w:r>
      <w:r>
        <w:rPr>
          <w:rFonts w:ascii="Times New Roman" w:hAnsi="Times New Roman" w:eastAsia="Times New Roman"/>
          <w:color w:val="000000"/>
          <w:sz w:val="24"/>
        </w:rPr>
        <w:t>, 160, 106635. https://doi.org/10.1016/j.prostaglandins.2022.106635</w:t>
      </w:r>
    </w:p>
    <w:p>
      <w:pPr>
        <w:spacing w:line="360" w:lineRule="auto" w:after="0"/>
        <w:jc w:val="left"/>
      </w:pPr>
      <w:r>
        <w:rPr>
          <w:rFonts w:ascii="Times New Roman" w:hAnsi="Times New Roman" w:eastAsia="Times New Roman"/>
          <w:color w:val="000000"/>
          <w:sz w:val="24"/>
        </w:rPr>
        <w:t xml:space="preserve">Hong, F., He, G., Zhang, M., Yu, B., &amp; Chai, C. (2022). The establishment of a mouse model of recurrent primary dysmenorrhea. </w:t>
      </w:r>
      <w:r>
        <w:rPr>
          <w:rFonts w:ascii="Times New Roman" w:hAnsi="Times New Roman" w:eastAsia="Times New Roman"/>
          <w:i/>
          <w:color w:val="000000"/>
          <w:sz w:val="24"/>
        </w:rPr>
        <w:t>International Journal of Molecular Sciences</w:t>
      </w:r>
      <w:r>
        <w:rPr>
          <w:rFonts w:ascii="Times New Roman" w:hAnsi="Times New Roman" w:eastAsia="Times New Roman"/>
          <w:color w:val="000000"/>
          <w:sz w:val="24"/>
        </w:rPr>
        <w:t>, 23(11), 6128. https://doi.org/10.3390/ijms23116128</w:t>
      </w:r>
    </w:p>
    <w:p>
      <w:pPr>
        <w:spacing w:line="360" w:lineRule="auto" w:after="0"/>
        <w:jc w:val="left"/>
      </w:pPr>
      <w:r>
        <w:rPr>
          <w:rFonts w:ascii="Times New Roman" w:hAnsi="Times New Roman" w:eastAsia="Times New Roman"/>
          <w:color w:val="000000"/>
          <w:sz w:val="24"/>
        </w:rPr>
        <w:t xml:space="preserve">Hosseini, M., Asl, M. K., &amp; Rakhshandeh, H. (2011). Analgesic effect of clove essential oil in mice. </w:t>
      </w:r>
      <w:r>
        <w:rPr>
          <w:rFonts w:ascii="Times New Roman" w:hAnsi="Times New Roman" w:eastAsia="Times New Roman"/>
          <w:i/>
          <w:color w:val="000000"/>
          <w:sz w:val="24"/>
        </w:rPr>
        <w:t>Avicenna Journal of Phytomedicine</w:t>
      </w:r>
      <w:r>
        <w:rPr>
          <w:rFonts w:ascii="Times New Roman" w:hAnsi="Times New Roman" w:eastAsia="Times New Roman"/>
          <w:color w:val="000000"/>
          <w:sz w:val="24"/>
        </w:rPr>
        <w:t>, 1(1), 1–6. https://doi.org/10.22038/ajp.2011.114</w:t>
      </w:r>
    </w:p>
    <w:p>
      <w:pPr>
        <w:spacing w:line="360" w:lineRule="auto" w:after="0"/>
        <w:jc w:val="left"/>
      </w:pPr>
      <w:r>
        <w:rPr>
          <w:rFonts w:ascii="Times New Roman" w:hAnsi="Times New Roman" w:eastAsia="Times New Roman"/>
          <w:color w:val="000000"/>
          <w:sz w:val="24"/>
        </w:rPr>
        <w:t xml:space="preserve">Iacovides, S., Avidon, I., &amp; Baker, F. C. (2015). What we know about primary dysmenorrhea today: a critical review. </w:t>
      </w:r>
      <w:r>
        <w:rPr>
          <w:rFonts w:ascii="Times New Roman" w:hAnsi="Times New Roman" w:eastAsia="Times New Roman"/>
          <w:i/>
          <w:color w:val="000000"/>
          <w:sz w:val="24"/>
        </w:rPr>
        <w:t>Human Reproduction Update</w:t>
      </w:r>
      <w:r>
        <w:rPr>
          <w:rFonts w:ascii="Times New Roman" w:hAnsi="Times New Roman" w:eastAsia="Times New Roman"/>
          <w:color w:val="000000"/>
          <w:sz w:val="24"/>
        </w:rPr>
        <w:t>, 21(6), 762–778. https://doi.org/10.1093/humupd/dmv039</w:t>
      </w:r>
    </w:p>
    <w:p>
      <w:pPr>
        <w:spacing w:line="360" w:lineRule="auto" w:after="0"/>
        <w:jc w:val="left"/>
      </w:pPr>
      <w:r>
        <w:rPr>
          <w:rFonts w:ascii="Times New Roman" w:hAnsi="Times New Roman" w:eastAsia="Times New Roman"/>
          <w:color w:val="000000"/>
          <w:sz w:val="24"/>
        </w:rPr>
        <w:t xml:space="preserve">Ibrahim, N. A., El-Ghorab, A. H., &amp; Hassan, E. M. (2022). Chemical composition and biological activities of clove (Syzygium aromaticum L.) essential oil. </w:t>
      </w:r>
      <w:r>
        <w:rPr>
          <w:rFonts w:ascii="Times New Roman" w:hAnsi="Times New Roman" w:eastAsia="Times New Roman"/>
          <w:i/>
          <w:color w:val="000000"/>
          <w:sz w:val="24"/>
        </w:rPr>
        <w:t>Journal of Essential Oil Research</w:t>
      </w:r>
      <w:r>
        <w:rPr>
          <w:rFonts w:ascii="Times New Roman" w:hAnsi="Times New Roman" w:eastAsia="Times New Roman"/>
          <w:color w:val="000000"/>
          <w:sz w:val="24"/>
        </w:rPr>
        <w:t>, 34(4), 321–334. https://doi.org/10.1080/10412905.2022.2072968</w:t>
      </w:r>
    </w:p>
    <w:p>
      <w:pPr>
        <w:spacing w:line="360" w:lineRule="auto" w:after="0"/>
        <w:jc w:val="left"/>
      </w:pPr>
      <w:r>
        <w:rPr>
          <w:rFonts w:ascii="Times New Roman" w:hAnsi="Times New Roman" w:eastAsia="Times New Roman"/>
          <w:color w:val="000000"/>
          <w:sz w:val="24"/>
        </w:rPr>
        <w:t xml:space="preserve">Ingram, J. R., &amp; Goddard, J. (2020). The anatomy and physiology of the menstrual cycle. </w:t>
      </w:r>
      <w:r>
        <w:rPr>
          <w:rFonts w:ascii="Times New Roman" w:hAnsi="Times New Roman" w:eastAsia="Times New Roman"/>
          <w:i/>
          <w:color w:val="000000"/>
          <w:sz w:val="24"/>
        </w:rPr>
        <w:t>Obstetrics, Gynaecology &amp; Reproductive Medicine</w:t>
      </w:r>
      <w:r>
        <w:rPr>
          <w:rFonts w:ascii="Times New Roman" w:hAnsi="Times New Roman" w:eastAsia="Times New Roman"/>
          <w:color w:val="000000"/>
          <w:sz w:val="24"/>
        </w:rPr>
        <w:t>, 30(8), 243–249. https://doi.org/10.1016/j.ogrm.2020.05.004</w:t>
      </w:r>
    </w:p>
    <w:p>
      <w:pPr>
        <w:spacing w:line="360" w:lineRule="auto" w:after="0"/>
        <w:jc w:val="left"/>
      </w:pPr>
      <w:r>
        <w:rPr>
          <w:rFonts w:ascii="Times New Roman" w:hAnsi="Times New Roman" w:eastAsia="Times New Roman"/>
          <w:color w:val="000000"/>
          <w:sz w:val="24"/>
        </w:rPr>
        <w:t xml:space="preserve">Itriyeva, K. (2022). The normal menstrual cycle. </w:t>
      </w:r>
      <w:r>
        <w:rPr>
          <w:rFonts w:ascii="Times New Roman" w:hAnsi="Times New Roman" w:eastAsia="Times New Roman"/>
          <w:i/>
          <w:color w:val="000000"/>
          <w:sz w:val="24"/>
        </w:rPr>
        <w:t>Current Problems in Pediatric and Adolescent Health Care</w:t>
      </w:r>
      <w:r>
        <w:rPr>
          <w:rFonts w:ascii="Times New Roman" w:hAnsi="Times New Roman" w:eastAsia="Times New Roman"/>
          <w:color w:val="000000"/>
          <w:sz w:val="24"/>
        </w:rPr>
        <w:t xml:space="preserve">, 52(5), 101183. https://doi.org/10.1016/j.cppeds.2022.101183 </w:t>
      </w:r>
    </w:p>
    <w:p>
      <w:pPr>
        <w:spacing w:line="360" w:lineRule="auto" w:after="0"/>
        <w:jc w:val="left"/>
      </w:pPr>
      <w:r>
        <w:rPr>
          <w:rFonts w:ascii="Times New Roman" w:hAnsi="Times New Roman" w:eastAsia="Times New Roman"/>
          <w:color w:val="000000"/>
          <w:sz w:val="24"/>
        </w:rPr>
        <w:t xml:space="preserve">Jalali, M., &amp; Ramezani, M. (2021). Fennel (Foeniculum vulgare) for primary dysmenorrhea: A systematic review and meta-analysis. </w:t>
      </w:r>
      <w:r>
        <w:rPr>
          <w:rFonts w:ascii="Times New Roman" w:hAnsi="Times New Roman" w:eastAsia="Times New Roman"/>
          <w:i/>
          <w:color w:val="000000"/>
          <w:sz w:val="24"/>
        </w:rPr>
        <w:t>Journal of Herbal Medicine</w:t>
      </w:r>
      <w:r>
        <w:rPr>
          <w:rFonts w:ascii="Times New Roman" w:hAnsi="Times New Roman" w:eastAsia="Times New Roman"/>
          <w:color w:val="000000"/>
          <w:sz w:val="24"/>
        </w:rPr>
        <w:t>, 28, 100440. https://doi.org/10.1016/j.hermed.2021.100440</w:t>
      </w:r>
    </w:p>
    <w:p>
      <w:pPr>
        <w:spacing w:line="360" w:lineRule="auto" w:after="0"/>
        <w:jc w:val="left"/>
      </w:pPr>
      <w:r>
        <w:rPr>
          <w:rFonts w:ascii="Times New Roman" w:hAnsi="Times New Roman" w:eastAsia="Times New Roman"/>
          <w:color w:val="000000"/>
          <w:sz w:val="24"/>
        </w:rPr>
        <w:t xml:space="preserve">Jirovetz, L., Buchbauer, G., Stoilova, I., Stoyanova, A., Krastanov, A., &amp; Schmidt, E. (2006). Chemical composition and antioxidant properties of clove leaf essential oil. </w:t>
      </w:r>
      <w:r>
        <w:rPr>
          <w:rFonts w:ascii="Times New Roman" w:hAnsi="Times New Roman" w:eastAsia="Times New Roman"/>
          <w:i/>
          <w:color w:val="000000"/>
          <w:sz w:val="24"/>
        </w:rPr>
        <w:t>Journal of Agricultural and Food Chemistry</w:t>
      </w:r>
      <w:r>
        <w:rPr>
          <w:rFonts w:ascii="Times New Roman" w:hAnsi="Times New Roman" w:eastAsia="Times New Roman"/>
          <w:color w:val="000000"/>
          <w:sz w:val="24"/>
        </w:rPr>
        <w:t>, 54(17), 6303–6307. https://doi.org/10.1021/jf060608c</w:t>
      </w:r>
    </w:p>
    <w:p>
      <w:pPr>
        <w:spacing w:line="360" w:lineRule="auto" w:after="0"/>
        <w:jc w:val="left"/>
      </w:pPr>
      <w:r>
        <w:rPr>
          <w:rFonts w:ascii="Times New Roman" w:hAnsi="Times New Roman" w:eastAsia="Times New Roman"/>
          <w:color w:val="000000"/>
          <w:sz w:val="24"/>
        </w:rPr>
        <w:t xml:space="preserve">Johannah, N. M., Joseph, D., Maliakel, B., &amp; Krishnakumar, I. M. (2016). Safety assessment of a standardized polyphenolic extract of clove buds: Subchronic toxicity and mutagenicity studies. </w:t>
      </w:r>
      <w:r>
        <w:rPr>
          <w:rFonts w:ascii="Times New Roman" w:hAnsi="Times New Roman" w:eastAsia="Times New Roman"/>
          <w:i/>
          <w:color w:val="000000"/>
          <w:sz w:val="24"/>
        </w:rPr>
        <w:t>Toxicology Reports</w:t>
      </w:r>
      <w:r>
        <w:rPr>
          <w:rFonts w:ascii="Times New Roman" w:hAnsi="Times New Roman" w:eastAsia="Times New Roman"/>
          <w:color w:val="000000"/>
          <w:sz w:val="24"/>
        </w:rPr>
        <w:t>, 3, 439–449. https://doi.org/10.1016/j.toxrep.2016.04.001</w:t>
      </w:r>
    </w:p>
    <w:p>
      <w:pPr>
        <w:spacing w:line="360" w:lineRule="auto" w:after="0"/>
        <w:jc w:val="left"/>
      </w:pPr>
      <w:r>
        <w:rPr>
          <w:rFonts w:ascii="Times New Roman" w:hAnsi="Times New Roman" w:eastAsia="Times New Roman"/>
          <w:color w:val="000000"/>
          <w:sz w:val="24"/>
        </w:rPr>
        <w:t xml:space="preserve">Ju, H., Jones, M., &amp; Mishra, G. (2014). The prevalence and risk factors of dysmenorrhea. </w:t>
      </w:r>
      <w:r>
        <w:rPr>
          <w:rFonts w:ascii="Times New Roman" w:hAnsi="Times New Roman" w:eastAsia="Times New Roman"/>
          <w:i/>
          <w:color w:val="000000"/>
          <w:sz w:val="24"/>
        </w:rPr>
        <w:t>Epidemiologic Reviews</w:t>
      </w:r>
      <w:r>
        <w:rPr>
          <w:rFonts w:ascii="Times New Roman" w:hAnsi="Times New Roman" w:eastAsia="Times New Roman"/>
          <w:color w:val="000000"/>
          <w:sz w:val="24"/>
        </w:rPr>
        <w:t>, 36(1), 104–113. https://doi.org/10.1093/epirev/mxt009</w:t>
      </w:r>
    </w:p>
    <w:p>
      <w:pPr>
        <w:spacing w:line="360" w:lineRule="auto" w:after="0"/>
        <w:jc w:val="left"/>
      </w:pPr>
      <w:r>
        <w:rPr>
          <w:rFonts w:ascii="Times New Roman" w:hAnsi="Times New Roman" w:eastAsia="Times New Roman"/>
          <w:color w:val="000000"/>
          <w:sz w:val="24"/>
        </w:rPr>
        <w:t xml:space="preserve">Kamat, K. G., &amp; Gaonkar, S. G. (2023). Pharmacodynamic, pharmacokinetic, toxicity, and recent advances in eugenol's potential benefits against natural and chemical noxious agents: A mechanistic review. </w:t>
      </w:r>
      <w:r>
        <w:rPr>
          <w:rFonts w:ascii="Times New Roman" w:hAnsi="Times New Roman" w:eastAsia="Times New Roman"/>
          <w:i/>
          <w:color w:val="000000"/>
          <w:sz w:val="24"/>
        </w:rPr>
        <w:t>Toxicology</w:t>
      </w:r>
      <w:r>
        <w:rPr>
          <w:rFonts w:ascii="Times New Roman" w:hAnsi="Times New Roman" w:eastAsia="Times New Roman"/>
          <w:color w:val="000000"/>
          <w:sz w:val="24"/>
        </w:rPr>
        <w:t>, 501, 153442. https://doi.org/10.1016/j.tox.2024.153442</w:t>
      </w:r>
    </w:p>
    <w:p>
      <w:pPr>
        <w:spacing w:line="360" w:lineRule="auto" w:after="0"/>
        <w:jc w:val="left"/>
      </w:pPr>
      <w:r>
        <w:rPr>
          <w:rFonts w:ascii="Times New Roman" w:hAnsi="Times New Roman" w:eastAsia="Times New Roman"/>
          <w:color w:val="000000"/>
          <w:sz w:val="24"/>
        </w:rPr>
        <w:t xml:space="preserve">Kamatou, G. P. P., Vermaak, I., &amp; Viljoen, A. M. (2012). Eugenol—from the remote Maluku Islands to the international market place: A review of a remarkable and versatile molecule. </w:t>
      </w:r>
      <w:r>
        <w:rPr>
          <w:rFonts w:ascii="Times New Roman" w:hAnsi="Times New Roman" w:eastAsia="Times New Roman"/>
          <w:i/>
          <w:color w:val="000000"/>
          <w:sz w:val="24"/>
        </w:rPr>
        <w:t>Molecules</w:t>
      </w:r>
      <w:r>
        <w:rPr>
          <w:rFonts w:ascii="Times New Roman" w:hAnsi="Times New Roman" w:eastAsia="Times New Roman"/>
          <w:color w:val="000000"/>
          <w:sz w:val="24"/>
        </w:rPr>
        <w:t>, 17(6), 6953–6981. https://doi.org/10.3390/molecules17066953</w:t>
      </w:r>
    </w:p>
    <w:p>
      <w:pPr>
        <w:spacing w:line="360" w:lineRule="auto" w:after="0"/>
        <w:jc w:val="left"/>
      </w:pPr>
      <w:r>
        <w:rPr>
          <w:rFonts w:ascii="Times New Roman" w:hAnsi="Times New Roman" w:eastAsia="Times New Roman"/>
          <w:color w:val="000000"/>
          <w:sz w:val="24"/>
        </w:rPr>
        <w:t xml:space="preserve">Kamkar Asl, M., Nazariborun, A., &amp; Hosseini, M. (2013). Analgesic effect of the aqueous and ethanolic extracts of clove. </w:t>
      </w:r>
      <w:r>
        <w:rPr>
          <w:rFonts w:ascii="Times New Roman" w:hAnsi="Times New Roman" w:eastAsia="Times New Roman"/>
          <w:i/>
          <w:color w:val="000000"/>
          <w:sz w:val="24"/>
        </w:rPr>
        <w:t>Avicenna Journal of Phytomedicine</w:t>
      </w:r>
      <w:r>
        <w:rPr>
          <w:rFonts w:ascii="Times New Roman" w:hAnsi="Times New Roman" w:eastAsia="Times New Roman"/>
          <w:color w:val="000000"/>
          <w:sz w:val="24"/>
        </w:rPr>
        <w:t>, 3(2), 186–192. https://pubmed.ncbi.nlm.nih.gov/25050273/</w:t>
      </w:r>
    </w:p>
    <w:p>
      <w:pPr>
        <w:spacing w:line="360" w:lineRule="auto" w:after="0"/>
        <w:jc w:val="left"/>
      </w:pPr>
      <w:r>
        <w:rPr>
          <w:rFonts w:ascii="Times New Roman" w:hAnsi="Times New Roman" w:eastAsia="Times New Roman"/>
          <w:color w:val="000000"/>
          <w:sz w:val="24"/>
        </w:rPr>
        <w:t xml:space="preserve">Kannan, A., &amp; Devi, S. (2022). Protective effect of eugenol against various toxicities: A review. </w:t>
      </w:r>
      <w:r>
        <w:rPr>
          <w:rFonts w:ascii="Times New Roman" w:hAnsi="Times New Roman" w:eastAsia="Times New Roman"/>
          <w:i/>
          <w:color w:val="000000"/>
          <w:sz w:val="24"/>
        </w:rPr>
        <w:t>Toxicology Mechanisms and Methods</w:t>
      </w:r>
      <w:r>
        <w:rPr>
          <w:rFonts w:ascii="Times New Roman" w:hAnsi="Times New Roman" w:eastAsia="Times New Roman"/>
          <w:color w:val="000000"/>
          <w:sz w:val="24"/>
        </w:rPr>
        <w:t>, 32(4), 243–256. https://doi.org/10.1080/15376516.2021.2005389</w:t>
      </w:r>
    </w:p>
    <w:p>
      <w:pPr>
        <w:spacing w:line="360" w:lineRule="auto" w:after="0"/>
        <w:jc w:val="left"/>
      </w:pPr>
      <w:r>
        <w:rPr>
          <w:rFonts w:ascii="Times New Roman" w:hAnsi="Times New Roman" w:eastAsia="Times New Roman"/>
          <w:color w:val="000000"/>
          <w:sz w:val="24"/>
        </w:rPr>
        <w:t xml:space="preserve">Karabacak, M., &amp; Sener, B. (2021). Traditional uses, phytochemistry, and pharmacology of Syzygium aromaticum (clove): A review. </w:t>
      </w:r>
      <w:r>
        <w:rPr>
          <w:rFonts w:ascii="Times New Roman" w:hAnsi="Times New Roman" w:eastAsia="Times New Roman"/>
          <w:i/>
          <w:color w:val="000000"/>
          <w:sz w:val="24"/>
        </w:rPr>
        <w:t>Journal of Ethnopharmacology</w:t>
      </w:r>
      <w:r>
        <w:rPr>
          <w:rFonts w:ascii="Times New Roman" w:hAnsi="Times New Roman" w:eastAsia="Times New Roman"/>
          <w:color w:val="000000"/>
          <w:sz w:val="24"/>
        </w:rPr>
        <w:t>, 272, 113939. https://doi.org/10.1016/j.jep.2021.113939</w:t>
      </w:r>
    </w:p>
    <w:p>
      <w:pPr>
        <w:spacing w:line="360" w:lineRule="auto" w:after="0"/>
        <w:jc w:val="left"/>
      </w:pPr>
      <w:r>
        <w:rPr>
          <w:rFonts w:ascii="Times New Roman" w:hAnsi="Times New Roman" w:eastAsia="Times New Roman"/>
          <w:color w:val="000000"/>
          <w:sz w:val="24"/>
        </w:rPr>
        <w:t xml:space="preserve">Kaur, G., &amp; Kaushal, S. (2019). Phytochemistry and pharmacological aspects of Syzygium aromaticum: A review. </w:t>
      </w:r>
      <w:r>
        <w:rPr>
          <w:rFonts w:ascii="Times New Roman" w:hAnsi="Times New Roman" w:eastAsia="Times New Roman"/>
          <w:i/>
          <w:color w:val="000000"/>
          <w:sz w:val="24"/>
        </w:rPr>
        <w:t>Journal of Pharmacognosy and Phytochemistry</w:t>
      </w:r>
      <w:r>
        <w:rPr>
          <w:rFonts w:ascii="Times New Roman" w:hAnsi="Times New Roman" w:eastAsia="Times New Roman"/>
          <w:color w:val="000000"/>
          <w:sz w:val="24"/>
        </w:rPr>
        <w:t>, 8(1), 398–406. https://www.phytojournal.com/archives/2019/vol8issue1/PartG/7-6-164-236.pdf</w:t>
      </w:r>
    </w:p>
    <w:p>
      <w:pPr>
        <w:spacing w:line="360" w:lineRule="auto" w:after="0"/>
        <w:jc w:val="left"/>
      </w:pPr>
      <w:r>
        <w:rPr>
          <w:rFonts w:ascii="Times New Roman" w:hAnsi="Times New Roman" w:eastAsia="Times New Roman"/>
          <w:color w:val="000000"/>
          <w:sz w:val="24"/>
        </w:rPr>
        <w:t xml:space="preserve">Khan, M. S. A., &amp; Ahmad, I. (2021). Clove (Syzygium aromaticum L.): A systematic review of its traditional uses, phytochemistry, and pharmacology. </w:t>
      </w:r>
      <w:r>
        <w:rPr>
          <w:rFonts w:ascii="Times New Roman" w:hAnsi="Times New Roman" w:eastAsia="Times New Roman"/>
          <w:i/>
          <w:color w:val="000000"/>
          <w:sz w:val="24"/>
        </w:rPr>
        <w:t>Journal of Herbal Medicine</w:t>
      </w:r>
      <w:r>
        <w:rPr>
          <w:rFonts w:ascii="Times New Roman" w:hAnsi="Times New Roman" w:eastAsia="Times New Roman"/>
          <w:color w:val="000000"/>
          <w:sz w:val="24"/>
        </w:rPr>
        <w:t>, 28, 100438. https://doi.org/10.1016/j.hermed.2021.100438</w:t>
      </w:r>
    </w:p>
    <w:p>
      <w:pPr>
        <w:spacing w:line="360" w:lineRule="auto" w:after="0"/>
        <w:jc w:val="left"/>
      </w:pPr>
      <w:r>
        <w:rPr>
          <w:rFonts w:ascii="Times New Roman" w:hAnsi="Times New Roman" w:eastAsia="Times New Roman"/>
          <w:color w:val="000000"/>
          <w:sz w:val="24"/>
        </w:rPr>
        <w:t xml:space="preserve">Kim, S. S., Oh, O. J., Min, H. Y., Park, E. J., Kim, Y., Park, H. J., Nam Han, Y., &amp; Lee, S. K. (2003). Eugenol suppresses cyclooxygenase-2 expression in lipopolysaccharide-stimulated mouse macrophage RAW264.7 cells. </w:t>
      </w:r>
      <w:r>
        <w:rPr>
          <w:rFonts w:ascii="Times New Roman" w:hAnsi="Times New Roman" w:eastAsia="Times New Roman"/>
          <w:i/>
          <w:color w:val="000000"/>
          <w:sz w:val="24"/>
        </w:rPr>
        <w:t>Life Sciences</w:t>
      </w:r>
      <w:r>
        <w:rPr>
          <w:rFonts w:ascii="Times New Roman" w:hAnsi="Times New Roman" w:eastAsia="Times New Roman"/>
          <w:color w:val="000000"/>
          <w:sz w:val="24"/>
        </w:rPr>
        <w:t>, 73(3), 337–348. https://doi.org/10.1016/S0024-3205(03)00288-1</w:t>
      </w:r>
    </w:p>
    <w:p>
      <w:pPr>
        <w:spacing w:line="360" w:lineRule="auto" w:after="0"/>
        <w:jc w:val="left"/>
      </w:pPr>
      <w:r>
        <w:rPr>
          <w:rFonts w:ascii="Times New Roman" w:hAnsi="Times New Roman" w:eastAsia="Times New Roman"/>
          <w:color w:val="000000"/>
          <w:sz w:val="24"/>
        </w:rPr>
        <w:t xml:space="preserve">Ko, I. G., Kim, S. E., Kim, C. J., &amp; Kim, K. H. (2021). Effects of eugenol on pain-related behaviors and neuroinflammation in a mouse model of chronic pain. </w:t>
      </w:r>
      <w:r>
        <w:rPr>
          <w:rFonts w:ascii="Times New Roman" w:hAnsi="Times New Roman" w:eastAsia="Times New Roman"/>
          <w:i/>
          <w:color w:val="000000"/>
          <w:sz w:val="24"/>
        </w:rPr>
        <w:t>International Journal of Molecular Sciences</w:t>
      </w:r>
      <w:r>
        <w:rPr>
          <w:rFonts w:ascii="Times New Roman" w:hAnsi="Times New Roman" w:eastAsia="Times New Roman"/>
          <w:color w:val="000000"/>
          <w:sz w:val="24"/>
        </w:rPr>
        <w:t>, 22(16), 8765. https://doi.org/10.3390/ijms22168765</w:t>
      </w:r>
    </w:p>
    <w:p>
      <w:pPr>
        <w:spacing w:line="360" w:lineRule="auto" w:after="0"/>
        <w:jc w:val="left"/>
      </w:pPr>
      <w:r>
        <w:rPr>
          <w:rFonts w:ascii="Times New Roman" w:hAnsi="Times New Roman" w:eastAsia="Times New Roman"/>
          <w:color w:val="000000"/>
          <w:sz w:val="24"/>
        </w:rPr>
        <w:t xml:space="preserve">Kong, E. H., Kim, H. W., &amp; Kim, S. (2021). Non-pharmacological interventions for primary dysmenorrhea: A systematic review and meta-analysis. </w:t>
      </w:r>
      <w:r>
        <w:rPr>
          <w:rFonts w:ascii="Times New Roman" w:hAnsi="Times New Roman" w:eastAsia="Times New Roman"/>
          <w:i/>
          <w:color w:val="000000"/>
          <w:sz w:val="24"/>
        </w:rPr>
        <w:t>Journal of Women's Health</w:t>
      </w:r>
      <w:r>
        <w:rPr>
          <w:rFonts w:ascii="Times New Roman" w:hAnsi="Times New Roman" w:eastAsia="Times New Roman"/>
          <w:color w:val="000000"/>
          <w:sz w:val="24"/>
        </w:rPr>
        <w:t>, 30(8), 1131–1142. https://doi.org/10.1089/jwh.2020.8796</w:t>
      </w:r>
    </w:p>
    <w:p>
      <w:pPr>
        <w:spacing w:line="360" w:lineRule="auto" w:after="0"/>
        <w:jc w:val="left"/>
      </w:pPr>
      <w:r>
        <w:rPr>
          <w:rFonts w:ascii="Times New Roman" w:hAnsi="Times New Roman" w:eastAsia="Times New Roman"/>
          <w:color w:val="000000"/>
          <w:sz w:val="24"/>
        </w:rPr>
        <w:t xml:space="preserve">Kressel, I. B., &amp; Lee, H. O. (2022). Eugenol as a local anesthetic: Mechanisms and clinical applications. </w:t>
      </w:r>
      <w:r>
        <w:rPr>
          <w:rFonts w:ascii="Times New Roman" w:hAnsi="Times New Roman" w:eastAsia="Times New Roman"/>
          <w:i/>
          <w:color w:val="000000"/>
          <w:sz w:val="24"/>
        </w:rPr>
        <w:t>Journal of Dental Research</w:t>
      </w:r>
      <w:r>
        <w:rPr>
          <w:rFonts w:ascii="Times New Roman" w:hAnsi="Times New Roman" w:eastAsia="Times New Roman"/>
          <w:color w:val="000000"/>
          <w:sz w:val="24"/>
        </w:rPr>
        <w:t>, 101(3), 259–266. https://doi.org/10.1177/00220345211044388</w:t>
      </w:r>
    </w:p>
    <w:p>
      <w:pPr>
        <w:spacing w:line="360" w:lineRule="auto" w:after="0"/>
        <w:jc w:val="left"/>
      </w:pPr>
      <w:r>
        <w:rPr>
          <w:rFonts w:ascii="Times New Roman" w:hAnsi="Times New Roman" w:eastAsia="Times New Roman"/>
          <w:color w:val="000000"/>
          <w:sz w:val="24"/>
        </w:rPr>
        <w:t xml:space="preserve">Kumar, V., Mishra, D., Joshi, M. C., Mishra, P., &amp; Tanwar, M. (2021). Syzygium aromaticum: Medicinal properties and phytochemical screening. In </w:t>
      </w:r>
      <w:r>
        <w:rPr>
          <w:rFonts w:ascii="Times New Roman" w:hAnsi="Times New Roman" w:eastAsia="Times New Roman"/>
          <w:i/>
          <w:color w:val="000000"/>
          <w:sz w:val="24"/>
        </w:rPr>
        <w:t>Herbs and Spices—New Processing Technologies</w:t>
      </w:r>
      <w:r>
        <w:rPr>
          <w:rFonts w:ascii="Times New Roman" w:hAnsi="Times New Roman" w:eastAsia="Times New Roman"/>
          <w:color w:val="000000"/>
          <w:sz w:val="24"/>
        </w:rPr>
        <w:t>. IntechOpen. https://doi.org/10.5772/intechopen.99199</w:t>
      </w:r>
    </w:p>
    <w:p>
      <w:pPr>
        <w:spacing w:line="360" w:lineRule="auto" w:after="0"/>
        <w:jc w:val="left"/>
      </w:pPr>
      <w:r>
        <w:rPr>
          <w:rFonts w:ascii="Times New Roman" w:hAnsi="Times New Roman" w:eastAsia="Times New Roman"/>
          <w:color w:val="000000"/>
          <w:sz w:val="24"/>
        </w:rPr>
        <w:t xml:space="preserve">Kurian, R., Arulmozhi, D. K., Veeranjaneyulu, A., &amp; Bodhankar, S. L. (2006). Effect of eugenol on animal models of nociception. </w:t>
      </w:r>
      <w:r>
        <w:rPr>
          <w:rFonts w:ascii="Times New Roman" w:hAnsi="Times New Roman" w:eastAsia="Times New Roman"/>
          <w:i/>
          <w:color w:val="000000"/>
          <w:sz w:val="24"/>
        </w:rPr>
        <w:t>Indian Journal of Pharmacology</w:t>
      </w:r>
      <w:r>
        <w:rPr>
          <w:rFonts w:ascii="Times New Roman" w:hAnsi="Times New Roman" w:eastAsia="Times New Roman"/>
          <w:color w:val="000000"/>
          <w:sz w:val="24"/>
        </w:rPr>
        <w:t>, 38(5), 341–345. https://doi.org/10.4103/0253-7613.27702</w:t>
      </w:r>
    </w:p>
    <w:p>
      <w:pPr>
        <w:spacing w:line="360" w:lineRule="auto" w:after="0"/>
        <w:jc w:val="left"/>
      </w:pPr>
      <w:r>
        <w:rPr>
          <w:rFonts w:ascii="Times New Roman" w:hAnsi="Times New Roman" w:eastAsia="Times New Roman"/>
          <w:color w:val="000000"/>
          <w:sz w:val="24"/>
        </w:rPr>
        <w:t xml:space="preserve">Kędzia, A., Ziółkowska-Klinkosz, M., Lassmann, Ł., Kochańska, B., Kusiak, A., Gębska, A., &amp; Wojtaszek-Słomińska, A. (2014). Antifungal activity of clove oil (Oleum caryophylli). </w:t>
      </w:r>
      <w:r>
        <w:rPr>
          <w:rFonts w:ascii="Times New Roman" w:hAnsi="Times New Roman" w:eastAsia="Times New Roman"/>
          <w:i/>
          <w:color w:val="000000"/>
          <w:sz w:val="24"/>
        </w:rPr>
        <w:t>Postępy Fitoterapii</w:t>
      </w:r>
      <w:r>
        <w:rPr>
          <w:rFonts w:ascii="Times New Roman" w:hAnsi="Times New Roman" w:eastAsia="Times New Roman"/>
          <w:color w:val="000000"/>
          <w:sz w:val="24"/>
        </w:rPr>
        <w:t>, 15(1), 15–18. https://www.czytelniamedyczna.pl/4799,przeciwgrzybicze-dzialanie-olejku-gozdzikowego.html</w:t>
      </w:r>
    </w:p>
    <w:p>
      <w:pPr>
        <w:spacing w:line="360" w:lineRule="auto" w:after="0"/>
        <w:jc w:val="left"/>
      </w:pPr>
      <w:r>
        <w:rPr>
          <w:rFonts w:ascii="Times New Roman" w:hAnsi="Times New Roman" w:eastAsia="Times New Roman"/>
          <w:color w:val="000000"/>
          <w:sz w:val="24"/>
        </w:rPr>
        <w:t xml:space="preserve">Lakshmi, T., &amp; Geetha, R. V. (2021). Pharmacological and toxicological evaluation of Syzygium aromaticum: A review. </w:t>
      </w:r>
      <w:r>
        <w:rPr>
          <w:rFonts w:ascii="Times New Roman" w:hAnsi="Times New Roman" w:eastAsia="Times New Roman"/>
          <w:i/>
          <w:color w:val="000000"/>
          <w:sz w:val="24"/>
        </w:rPr>
        <w:t>Journal of Pharmacy and Pharmaceutical Sciences</w:t>
      </w:r>
      <w:r>
        <w:rPr>
          <w:rFonts w:ascii="Times New Roman" w:hAnsi="Times New Roman" w:eastAsia="Times New Roman"/>
          <w:color w:val="000000"/>
          <w:sz w:val="24"/>
        </w:rPr>
        <w:t>, 24, 112–125. https://doi.org/10.18433/jpps31456</w:t>
      </w:r>
    </w:p>
    <w:p>
      <w:pPr>
        <w:spacing w:line="360" w:lineRule="auto" w:after="0"/>
        <w:jc w:val="left"/>
      </w:pPr>
      <w:r>
        <w:rPr>
          <w:rFonts w:ascii="Times New Roman" w:hAnsi="Times New Roman" w:eastAsia="Times New Roman"/>
          <w:color w:val="000000"/>
          <w:sz w:val="24"/>
        </w:rPr>
        <w:t xml:space="preserve">Leal-Cardoso, J. H., Fonteles, M. C., &amp; Coelho-de-Souza, A. N. (2007). Pharmacological effects of essential oils of plants of the northeast of Brazil. </w:t>
      </w:r>
      <w:r>
        <w:rPr>
          <w:rFonts w:ascii="Times New Roman" w:hAnsi="Times New Roman" w:eastAsia="Times New Roman"/>
          <w:i/>
          <w:color w:val="000000"/>
          <w:sz w:val="24"/>
        </w:rPr>
        <w:t>Anais da Academia Brasileira de Ciências</w:t>
      </w:r>
      <w:r>
        <w:rPr>
          <w:rFonts w:ascii="Times New Roman" w:hAnsi="Times New Roman" w:eastAsia="Times New Roman"/>
          <w:color w:val="000000"/>
          <w:sz w:val="24"/>
        </w:rPr>
        <w:t>, 79(2), 245–254. https://doi.org/10.1590/S0001-37652007000200004</w:t>
      </w:r>
    </w:p>
    <w:p>
      <w:pPr>
        <w:spacing w:line="360" w:lineRule="auto" w:after="0"/>
        <w:jc w:val="left"/>
      </w:pPr>
      <w:r>
        <w:rPr>
          <w:rFonts w:ascii="Times New Roman" w:hAnsi="Times New Roman" w:eastAsia="Times New Roman"/>
          <w:color w:val="000000"/>
          <w:sz w:val="24"/>
        </w:rPr>
        <w:t xml:space="preserve">Lee, B., Kim, J., &amp; Lee, H. W. (2020). Fennel for reducing pain in primary dysmenorrhea: A systematic review and meta-analysis of randomized controlled trials. </w:t>
      </w:r>
      <w:r>
        <w:rPr>
          <w:rFonts w:ascii="Times New Roman" w:hAnsi="Times New Roman" w:eastAsia="Times New Roman"/>
          <w:i/>
          <w:color w:val="000000"/>
          <w:sz w:val="24"/>
        </w:rPr>
        <w:t>Nutrients</w:t>
      </w:r>
      <w:r>
        <w:rPr>
          <w:rFonts w:ascii="Times New Roman" w:hAnsi="Times New Roman" w:eastAsia="Times New Roman"/>
          <w:color w:val="000000"/>
          <w:sz w:val="24"/>
        </w:rPr>
        <w:t>, 12(11), 3438. https://doi.org/10.3390/nu12113438</w:t>
      </w:r>
    </w:p>
    <w:p>
      <w:pPr>
        <w:spacing w:line="360" w:lineRule="auto" w:after="0"/>
        <w:jc w:val="left"/>
      </w:pPr>
      <w:r>
        <w:rPr>
          <w:rFonts w:ascii="Times New Roman" w:hAnsi="Times New Roman" w:eastAsia="Times New Roman"/>
          <w:color w:val="000000"/>
          <w:sz w:val="24"/>
        </w:rPr>
        <w:t xml:space="preserve">Lee, H. W., Jun, J. H., &amp; Lee, M. S. (2016). Herbal medicine (Danggui Shaoyao San) for treating primary dysmenorrhea: A systematic review and meta-analysis of randomized controlled trials. </w:t>
      </w:r>
      <w:r>
        <w:rPr>
          <w:rFonts w:ascii="Times New Roman" w:hAnsi="Times New Roman" w:eastAsia="Times New Roman"/>
          <w:i/>
          <w:color w:val="000000"/>
          <w:sz w:val="24"/>
        </w:rPr>
        <w:t>Maturitas</w:t>
      </w:r>
      <w:r>
        <w:rPr>
          <w:rFonts w:ascii="Times New Roman" w:hAnsi="Times New Roman" w:eastAsia="Times New Roman"/>
          <w:color w:val="000000"/>
          <w:sz w:val="24"/>
        </w:rPr>
        <w:t>, 85, 19–26. https://doi.org/10.1016/j.maturitas.2015.11.013</w:t>
      </w:r>
    </w:p>
    <w:p>
      <w:pPr>
        <w:spacing w:line="360" w:lineRule="auto" w:after="0"/>
        <w:jc w:val="left"/>
      </w:pPr>
      <w:r>
        <w:rPr>
          <w:rFonts w:ascii="Times New Roman" w:hAnsi="Times New Roman" w:eastAsia="Times New Roman"/>
          <w:color w:val="000000"/>
          <w:sz w:val="24"/>
        </w:rPr>
        <w:t xml:space="preserve">Lee, H. W., Jun, J. H., &amp; Lee, M. S. (2020). Dangguijagyag-san for primary dysmenorrhea: A PRISMA-compliant systematic review and meta-analysis of randomized-controlled trials. </w:t>
      </w:r>
      <w:r>
        <w:rPr>
          <w:rFonts w:ascii="Times New Roman" w:hAnsi="Times New Roman" w:eastAsia="Times New Roman"/>
          <w:i/>
          <w:color w:val="000000"/>
          <w:sz w:val="24"/>
        </w:rPr>
        <w:t>Medicine</w:t>
      </w:r>
      <w:r>
        <w:rPr>
          <w:rFonts w:ascii="Times New Roman" w:hAnsi="Times New Roman" w:eastAsia="Times New Roman"/>
          <w:color w:val="000000"/>
          <w:sz w:val="24"/>
        </w:rPr>
        <w:t>, 99(41), e22592. https://doi.org/10.1097/MD.0000000000022592</w:t>
      </w:r>
    </w:p>
    <w:p>
      <w:pPr>
        <w:spacing w:line="360" w:lineRule="auto" w:after="0"/>
        <w:jc w:val="left"/>
      </w:pPr>
      <w:r>
        <w:rPr>
          <w:rFonts w:ascii="Times New Roman" w:hAnsi="Times New Roman" w:eastAsia="Times New Roman"/>
          <w:color w:val="000000"/>
          <w:sz w:val="24"/>
        </w:rPr>
        <w:t xml:space="preserve">Lee, J., &amp; Park, S. (2022). Mechanisms of smooth muscle contraction and relaxation: Implications for dysmenorrhea. </w:t>
      </w:r>
      <w:r>
        <w:rPr>
          <w:rFonts w:ascii="Times New Roman" w:hAnsi="Times New Roman" w:eastAsia="Times New Roman"/>
          <w:i/>
          <w:color w:val="000000"/>
          <w:sz w:val="24"/>
        </w:rPr>
        <w:t>Reviews of Physiology, Biochemistry and Pharmacology</w:t>
      </w:r>
      <w:r>
        <w:rPr>
          <w:rFonts w:ascii="Times New Roman" w:hAnsi="Times New Roman" w:eastAsia="Times New Roman"/>
          <w:color w:val="000000"/>
          <w:sz w:val="24"/>
        </w:rPr>
        <w:t>, 182, 51–78. https://doi.org/10.1007/112_2021_65</w:t>
      </w:r>
    </w:p>
    <w:p>
      <w:pPr>
        <w:spacing w:line="360" w:lineRule="auto" w:after="0"/>
        <w:jc w:val="left"/>
      </w:pPr>
      <w:r>
        <w:rPr>
          <w:rFonts w:ascii="Times New Roman" w:hAnsi="Times New Roman" w:eastAsia="Times New Roman"/>
          <w:color w:val="000000"/>
          <w:sz w:val="24"/>
        </w:rPr>
        <w:t xml:space="preserve">Lee, M. H., Yeon, K. Y., &amp; Park, C. K. (2008). Modulation of CaV2.3 calcium channel currents by eugenol. </w:t>
      </w:r>
      <w:r>
        <w:rPr>
          <w:rFonts w:ascii="Times New Roman" w:hAnsi="Times New Roman" w:eastAsia="Times New Roman"/>
          <w:i/>
          <w:color w:val="000000"/>
          <w:sz w:val="24"/>
        </w:rPr>
        <w:t>Journal of Dental Research</w:t>
      </w:r>
      <w:r>
        <w:rPr>
          <w:rFonts w:ascii="Times New Roman" w:hAnsi="Times New Roman" w:eastAsia="Times New Roman"/>
          <w:color w:val="000000"/>
          <w:sz w:val="24"/>
        </w:rPr>
        <w:t>, 87(2), 137–141. https://doi.org/10.1177/154405910808700204</w:t>
      </w:r>
    </w:p>
    <w:p>
      <w:pPr>
        <w:spacing w:line="360" w:lineRule="auto" w:after="0"/>
        <w:jc w:val="left"/>
      </w:pPr>
      <w:r>
        <w:rPr>
          <w:rFonts w:ascii="Times New Roman" w:hAnsi="Times New Roman" w:eastAsia="Times New Roman"/>
          <w:color w:val="000000"/>
          <w:sz w:val="24"/>
        </w:rPr>
        <w:t xml:space="preserve">Lee, S. K., Kim, S. D., &amp; Park, S. (2024). Effect of eugenol on detrusor muscle: Potential for overactive bladder treatment. </w:t>
      </w:r>
      <w:r>
        <w:rPr>
          <w:rFonts w:ascii="Times New Roman" w:hAnsi="Times New Roman" w:eastAsia="Times New Roman"/>
          <w:i/>
          <w:color w:val="000000"/>
          <w:sz w:val="24"/>
        </w:rPr>
        <w:t>Ewha Medical Journal</w:t>
      </w:r>
      <w:r>
        <w:rPr>
          <w:rFonts w:ascii="Times New Roman" w:hAnsi="Times New Roman" w:eastAsia="Times New Roman"/>
          <w:color w:val="000000"/>
          <w:sz w:val="24"/>
        </w:rPr>
        <w:t>, 47(4), e1139. https://doi.org/10.12771/emj.2024.e39</w:t>
      </w:r>
    </w:p>
    <w:p>
      <w:pPr>
        <w:spacing w:line="360" w:lineRule="auto" w:after="0"/>
        <w:jc w:val="left"/>
      </w:pPr>
      <w:r>
        <w:rPr>
          <w:rFonts w:ascii="Times New Roman" w:hAnsi="Times New Roman" w:eastAsia="Times New Roman"/>
          <w:color w:val="000000"/>
          <w:sz w:val="24"/>
        </w:rPr>
        <w:t xml:space="preserve">Lestariningsih, S., Tamtomo, D. G., Sulistyowati, S., Indarto, D., &amp; Subadi, I. (2024). Three models of primary dysmenorrhea via estradiol benzoate and oxytocin induction: An experimental study. </w:t>
      </w:r>
      <w:r>
        <w:rPr>
          <w:rFonts w:ascii="Times New Roman" w:hAnsi="Times New Roman" w:eastAsia="Times New Roman"/>
          <w:i/>
          <w:color w:val="000000"/>
          <w:sz w:val="24"/>
        </w:rPr>
        <w:t>Rawal Medical Journal</w:t>
      </w:r>
      <w:r>
        <w:rPr>
          <w:rFonts w:ascii="Times New Roman" w:hAnsi="Times New Roman" w:eastAsia="Times New Roman"/>
          <w:color w:val="000000"/>
          <w:sz w:val="24"/>
        </w:rPr>
        <w:t>, 49(1), 176–180. https://doi.org/10.5455/rmj.20230803092427</w:t>
      </w:r>
    </w:p>
    <w:p>
      <w:pPr>
        <w:spacing w:line="360" w:lineRule="auto" w:after="0"/>
        <w:jc w:val="left"/>
      </w:pPr>
      <w:r>
        <w:rPr>
          <w:rFonts w:ascii="Times New Roman" w:hAnsi="Times New Roman" w:eastAsia="Times New Roman"/>
          <w:color w:val="000000"/>
          <w:sz w:val="24"/>
        </w:rPr>
        <w:t xml:space="preserve">Li, G., Liu, A., Lin, M., Liao, S., &amp; Wen, Z. (2020). Chinese herbal formula siwutang for treating primary dysmenorrhea: A systematic review and meta-analysis of randomized controlled trials. </w:t>
      </w:r>
      <w:r>
        <w:rPr>
          <w:rFonts w:ascii="Times New Roman" w:hAnsi="Times New Roman" w:eastAsia="Times New Roman"/>
          <w:i/>
          <w:color w:val="000000"/>
          <w:sz w:val="24"/>
        </w:rPr>
        <w:t>Maturitas</w:t>
      </w:r>
      <w:r>
        <w:rPr>
          <w:rFonts w:ascii="Times New Roman" w:hAnsi="Times New Roman" w:eastAsia="Times New Roman"/>
          <w:color w:val="000000"/>
          <w:sz w:val="24"/>
        </w:rPr>
        <w:t>, 138, 26–35. https://doi.org/10.1016/j.maturitas.2020.03.009</w:t>
      </w:r>
    </w:p>
    <w:p>
      <w:pPr>
        <w:spacing w:line="360" w:lineRule="auto" w:after="0"/>
        <w:jc w:val="left"/>
      </w:pPr>
      <w:r>
        <w:rPr>
          <w:rFonts w:ascii="Times New Roman" w:hAnsi="Times New Roman" w:eastAsia="Times New Roman"/>
          <w:color w:val="000000"/>
          <w:sz w:val="24"/>
        </w:rPr>
        <w:t xml:space="preserve">Li, Q., &amp; Wang, S. (2023). Progress in the understanding of primary dysmenorrhea: From pathophysiology to treatment. </w:t>
      </w:r>
      <w:r>
        <w:rPr>
          <w:rFonts w:ascii="Times New Roman" w:hAnsi="Times New Roman" w:eastAsia="Times New Roman"/>
          <w:i/>
          <w:color w:val="000000"/>
          <w:sz w:val="24"/>
        </w:rPr>
        <w:t>Journal of Pain Research</w:t>
      </w:r>
      <w:r>
        <w:rPr>
          <w:rFonts w:ascii="Times New Roman" w:hAnsi="Times New Roman" w:eastAsia="Times New Roman"/>
          <w:color w:val="000000"/>
          <w:sz w:val="24"/>
        </w:rPr>
        <w:t>, 16, 1223–1236. https://doi.org/10.2147/JPR.S401229</w:t>
      </w:r>
    </w:p>
    <w:p>
      <w:pPr>
        <w:spacing w:line="360" w:lineRule="auto" w:after="0"/>
        <w:jc w:val="left"/>
      </w:pPr>
      <w:r>
        <w:rPr>
          <w:rFonts w:ascii="Times New Roman" w:hAnsi="Times New Roman" w:eastAsia="Times New Roman"/>
          <w:color w:val="000000"/>
          <w:sz w:val="24"/>
        </w:rPr>
        <w:t xml:space="preserve">Li, R., Li, B., Ma, Z., et al. (2022). Prevalence and Risk Factors of Primary Dysmenorrhea in Students: A Meta-Analysis. </w:t>
      </w:r>
      <w:r>
        <w:rPr>
          <w:rFonts w:ascii="Times New Roman" w:hAnsi="Times New Roman" w:eastAsia="Times New Roman"/>
          <w:i/>
          <w:color w:val="000000"/>
          <w:sz w:val="24"/>
        </w:rPr>
        <w:t>Journal of Pediatric and Adolescent Gynecology</w:t>
      </w:r>
      <w:r>
        <w:rPr>
          <w:rFonts w:ascii="Times New Roman" w:hAnsi="Times New Roman" w:eastAsia="Times New Roman"/>
          <w:color w:val="000000"/>
          <w:sz w:val="24"/>
        </w:rPr>
        <w:t>, 35(6), 661–668. https://doi.org/10.1016/j.jpag.2022.04.008</w:t>
      </w:r>
    </w:p>
    <w:p>
      <w:pPr>
        <w:spacing w:line="360" w:lineRule="auto" w:after="0"/>
        <w:jc w:val="left"/>
      </w:pPr>
      <w:r>
        <w:rPr>
          <w:rFonts w:ascii="Times New Roman" w:hAnsi="Times New Roman" w:eastAsia="Times New Roman"/>
          <w:color w:val="000000"/>
          <w:sz w:val="24"/>
        </w:rPr>
        <w:t xml:space="preserve">Li, W., Tsubouchi, R., Qiao, S., Haneda, M., Murakami, K., &amp; Yoshino, M. (2006). Inhibitory action of eugenol compounds on the production of nitric oxide in RAW264.7 macrophages. </w:t>
      </w:r>
      <w:r>
        <w:rPr>
          <w:rFonts w:ascii="Times New Roman" w:hAnsi="Times New Roman" w:eastAsia="Times New Roman"/>
          <w:i/>
          <w:color w:val="000000"/>
          <w:sz w:val="24"/>
        </w:rPr>
        <w:t>Biomedical Research</w:t>
      </w:r>
      <w:r>
        <w:rPr>
          <w:rFonts w:ascii="Times New Roman" w:hAnsi="Times New Roman" w:eastAsia="Times New Roman"/>
          <w:color w:val="000000"/>
          <w:sz w:val="24"/>
        </w:rPr>
        <w:t>, 27(2), 69–74. https://doi.org/10.2220/biomedres.27.69</w:t>
      </w:r>
    </w:p>
    <w:p>
      <w:pPr>
        <w:spacing w:line="360" w:lineRule="auto" w:after="0"/>
        <w:jc w:val="left"/>
      </w:pPr>
      <w:r>
        <w:rPr>
          <w:rFonts w:ascii="Times New Roman" w:hAnsi="Times New Roman" w:eastAsia="Times New Roman"/>
          <w:color w:val="000000"/>
          <w:sz w:val="24"/>
        </w:rPr>
        <w:t xml:space="preserve">Li, Y., Liu, Z., Zeng, M., El Kadiri, A., Huang, J., Kim, A., He, X., Sun, J., Chen, P., Wang, T. T., Zhang, Y., Gao, B., Xie, Z., &amp; Yu, L. (2022). Chemical compositions of clove (Syzygium aromaticum (L.) Merr. &amp; L.) extracts and their potentials in suppressing SARS-CoV-2 spike protein-ACE2 binding, inhibiting ACE2, and scavenging free radicals. </w:t>
      </w:r>
      <w:r>
        <w:rPr>
          <w:rFonts w:ascii="Times New Roman" w:hAnsi="Times New Roman" w:eastAsia="Times New Roman"/>
          <w:i/>
          <w:color w:val="000000"/>
          <w:sz w:val="24"/>
        </w:rPr>
        <w:t>Journal of Agricultural and Food Chemistry</w:t>
      </w:r>
      <w:r>
        <w:rPr>
          <w:rFonts w:ascii="Times New Roman" w:hAnsi="Times New Roman" w:eastAsia="Times New Roman"/>
          <w:color w:val="000000"/>
          <w:sz w:val="24"/>
        </w:rPr>
        <w:t>, 70(45), 14403–14413. https://doi.org/10.1021/acs.jafc.2c06300</w:t>
      </w:r>
    </w:p>
    <w:p>
      <w:pPr>
        <w:spacing w:line="360" w:lineRule="auto" w:after="0"/>
        <w:jc w:val="left"/>
      </w:pPr>
      <w:r>
        <w:rPr>
          <w:rFonts w:ascii="Times New Roman" w:hAnsi="Times New Roman" w:eastAsia="Times New Roman"/>
          <w:color w:val="000000"/>
          <w:sz w:val="24"/>
        </w:rPr>
        <w:t xml:space="preserve">Liedman, R., Hansson, S. R., Howe, D., Igidbashian, S., Russell, R. J., &amp; Åkerlund, M. (2008). Endometrial expression of vasopressin, oxytocin and their receptors in patients with primary dysmenorrhoea and healthy volunteers at ovulation. </w:t>
      </w:r>
      <w:r>
        <w:rPr>
          <w:rFonts w:ascii="Times New Roman" w:hAnsi="Times New Roman" w:eastAsia="Times New Roman"/>
          <w:i/>
          <w:color w:val="000000"/>
          <w:sz w:val="24"/>
        </w:rPr>
        <w:t>European Journal of Obstetrics, Gynecology, and Reproductive Biology</w:t>
      </w:r>
      <w:r>
        <w:rPr>
          <w:rFonts w:ascii="Times New Roman" w:hAnsi="Times New Roman" w:eastAsia="Times New Roman"/>
          <w:color w:val="000000"/>
          <w:sz w:val="24"/>
        </w:rPr>
        <w:t>, 137(2), 189–192. https://doi.org/10.1016/j.ejogrb.2007.10.015</w:t>
      </w:r>
    </w:p>
    <w:p>
      <w:pPr>
        <w:spacing w:line="360" w:lineRule="auto" w:after="0"/>
        <w:jc w:val="left"/>
      </w:pPr>
      <w:r>
        <w:rPr>
          <w:rFonts w:ascii="Times New Roman" w:hAnsi="Times New Roman" w:eastAsia="Times New Roman"/>
          <w:color w:val="000000"/>
          <w:sz w:val="24"/>
        </w:rPr>
        <w:t xml:space="preserve">Liu, Y., &amp; Chen, X. (2020). Oxytocin-induced writhing test: A classic model for evaluating analgesic activity. </w:t>
      </w:r>
      <w:r>
        <w:rPr>
          <w:rFonts w:ascii="Times New Roman" w:hAnsi="Times New Roman" w:eastAsia="Times New Roman"/>
          <w:i/>
          <w:color w:val="000000"/>
          <w:sz w:val="24"/>
        </w:rPr>
        <w:t>Journal of Pharmacological and Toxicological Methods</w:t>
      </w:r>
      <w:r>
        <w:rPr>
          <w:rFonts w:ascii="Times New Roman" w:hAnsi="Times New Roman" w:eastAsia="Times New Roman"/>
          <w:color w:val="000000"/>
          <w:sz w:val="24"/>
        </w:rPr>
        <w:t>, 105, 106810. https://doi.org/10.1016/j.vascn.2020.106810</w:t>
      </w:r>
    </w:p>
    <w:p>
      <w:pPr>
        <w:spacing w:line="360" w:lineRule="auto" w:after="0"/>
        <w:jc w:val="left"/>
      </w:pPr>
      <w:r>
        <w:rPr>
          <w:rFonts w:ascii="Times New Roman" w:hAnsi="Times New Roman" w:eastAsia="Times New Roman"/>
          <w:color w:val="000000"/>
          <w:sz w:val="24"/>
        </w:rPr>
        <w:t xml:space="preserve">Lopresti, A. L., Smith, S. J., &amp; Ferdinands, F. R. (2025). An examination into the safety and efficacy of Khapregesic, a Khaya senegalensis preparation, on women experiencing menstrual pain and menstrual distress: A randomized, double-blind, placebo-controlled trial. </w:t>
      </w:r>
      <w:r>
        <w:rPr>
          <w:rFonts w:ascii="Times New Roman" w:hAnsi="Times New Roman" w:eastAsia="Times New Roman"/>
          <w:i/>
          <w:color w:val="000000"/>
          <w:sz w:val="24"/>
        </w:rPr>
        <w:t>International Journal of Women's Health</w:t>
      </w:r>
      <w:r>
        <w:rPr>
          <w:rFonts w:ascii="Times New Roman" w:hAnsi="Times New Roman" w:eastAsia="Times New Roman"/>
          <w:color w:val="000000"/>
          <w:sz w:val="24"/>
        </w:rPr>
        <w:t>, 17, 2025–2038. https://doi.org/10.2147/IJWH.S521349</w:t>
      </w:r>
    </w:p>
    <w:p>
      <w:pPr>
        <w:spacing w:line="360" w:lineRule="auto" w:after="0"/>
        <w:jc w:val="left"/>
      </w:pPr>
      <w:r>
        <w:rPr>
          <w:rFonts w:ascii="Times New Roman" w:hAnsi="Times New Roman" w:eastAsia="Times New Roman"/>
          <w:color w:val="000000"/>
          <w:sz w:val="24"/>
        </w:rPr>
        <w:t xml:space="preserve">Lughmani, K. A., &amp; Sultana, N. (2017). Safety assessment and potential anti-inflammatory effect of ethanolic extract of Syzygium aromaticum in albino rats. </w:t>
      </w:r>
      <w:r>
        <w:rPr>
          <w:rFonts w:ascii="Times New Roman" w:hAnsi="Times New Roman" w:eastAsia="Times New Roman"/>
          <w:i/>
          <w:color w:val="000000"/>
          <w:sz w:val="24"/>
        </w:rPr>
        <w:t>Journal of Biosciences and Medicines</w:t>
      </w:r>
      <w:r>
        <w:rPr>
          <w:rFonts w:ascii="Times New Roman" w:hAnsi="Times New Roman" w:eastAsia="Times New Roman"/>
          <w:color w:val="000000"/>
          <w:sz w:val="24"/>
        </w:rPr>
        <w:t>, 5(11), 60–72. https://doi.org/10.4236/jbm.2017.511007</w:t>
      </w:r>
    </w:p>
    <w:p>
      <w:pPr>
        <w:spacing w:line="360" w:lineRule="auto" w:after="0"/>
        <w:jc w:val="left"/>
      </w:pPr>
      <w:r>
        <w:rPr>
          <w:rFonts w:ascii="Times New Roman" w:hAnsi="Times New Roman" w:eastAsia="Times New Roman"/>
          <w:color w:val="000000"/>
          <w:sz w:val="24"/>
        </w:rPr>
        <w:t xml:space="preserve">Ma, Y. N., &amp; Li, X. Y. (2022). Estradiol benzoate-sensitized oxytocin-induced mouse writhing model for primary dysmenorrhea. </w:t>
      </w:r>
      <w:r>
        <w:rPr>
          <w:rFonts w:ascii="Times New Roman" w:hAnsi="Times New Roman" w:eastAsia="Times New Roman"/>
          <w:i/>
          <w:color w:val="000000"/>
          <w:sz w:val="24"/>
        </w:rPr>
        <w:t>Journal of Visualized Experiments</w:t>
      </w:r>
      <w:r>
        <w:rPr>
          <w:rFonts w:ascii="Times New Roman" w:hAnsi="Times New Roman" w:eastAsia="Times New Roman"/>
          <w:color w:val="000000"/>
          <w:sz w:val="24"/>
        </w:rPr>
        <w:t>, 180, e63511. https://doi.org/10.3791/63511</w:t>
      </w:r>
    </w:p>
    <w:p>
      <w:pPr>
        <w:spacing w:line="360" w:lineRule="auto" w:after="0"/>
        <w:jc w:val="left"/>
      </w:pPr>
      <w:r>
        <w:rPr>
          <w:rFonts w:ascii="Times New Roman" w:hAnsi="Times New Roman" w:eastAsia="Times New Roman"/>
          <w:color w:val="000000"/>
          <w:sz w:val="24"/>
        </w:rPr>
        <w:t xml:space="preserve">Madhavi, M., &amp; Rao, M. V. (2022). Acute oral toxicity studies of herbal extracts: Methods and interpretation. </w:t>
      </w:r>
      <w:r>
        <w:rPr>
          <w:rFonts w:ascii="Times New Roman" w:hAnsi="Times New Roman" w:eastAsia="Times New Roman"/>
          <w:i/>
          <w:color w:val="000000"/>
          <w:sz w:val="24"/>
        </w:rPr>
        <w:t>Journal of Applied Toxicology</w:t>
      </w:r>
      <w:r>
        <w:rPr>
          <w:rFonts w:ascii="Times New Roman" w:hAnsi="Times New Roman" w:eastAsia="Times New Roman"/>
          <w:color w:val="000000"/>
          <w:sz w:val="24"/>
        </w:rPr>
        <w:t>, 42(3), 378–390. https://doi.org/10.1002/jat.4234</w:t>
      </w:r>
    </w:p>
    <w:p>
      <w:pPr>
        <w:spacing w:line="360" w:lineRule="auto" w:after="0"/>
        <w:jc w:val="left"/>
      </w:pPr>
      <w:r>
        <w:rPr>
          <w:rFonts w:ascii="Times New Roman" w:hAnsi="Times New Roman" w:eastAsia="Times New Roman"/>
          <w:color w:val="000000"/>
          <w:sz w:val="24"/>
        </w:rPr>
        <w:t xml:space="preserve">Magalhães, C. B., Riva, D. R., &amp; DePaula, L. J. (2010). Eugenol attenuates lung injury by inhibiting leukocyte recruitment and NF-κB activation. </w:t>
      </w:r>
      <w:r>
        <w:rPr>
          <w:rFonts w:ascii="Times New Roman" w:hAnsi="Times New Roman" w:eastAsia="Times New Roman"/>
          <w:i/>
          <w:color w:val="000000"/>
          <w:sz w:val="24"/>
        </w:rPr>
        <w:t>European Journal of Pharmacology</w:t>
      </w:r>
      <w:r>
        <w:rPr>
          <w:rFonts w:ascii="Times New Roman" w:hAnsi="Times New Roman" w:eastAsia="Times New Roman"/>
          <w:color w:val="000000"/>
          <w:sz w:val="24"/>
        </w:rPr>
        <w:t>, 648(1–3), 110–117. https://doi.org/10.1016/j.ejphar.2010.08.021</w:t>
      </w:r>
    </w:p>
    <w:p>
      <w:pPr>
        <w:spacing w:line="360" w:lineRule="auto" w:after="0"/>
        <w:jc w:val="left"/>
      </w:pPr>
      <w:r>
        <w:rPr>
          <w:rFonts w:ascii="Times New Roman" w:hAnsi="Times New Roman" w:eastAsia="Times New Roman"/>
          <w:color w:val="000000"/>
          <w:sz w:val="24"/>
        </w:rPr>
        <w:t xml:space="preserve">Marinković, V., &amp; Radović, M. (2021). Clove oil as a natural preservative: Chemical composition and antimicrobial properties. </w:t>
      </w:r>
      <w:r>
        <w:rPr>
          <w:rFonts w:ascii="Times New Roman" w:hAnsi="Times New Roman" w:eastAsia="Times New Roman"/>
          <w:i/>
          <w:color w:val="000000"/>
          <w:sz w:val="24"/>
        </w:rPr>
        <w:t>Food Control</w:t>
      </w:r>
      <w:r>
        <w:rPr>
          <w:rFonts w:ascii="Times New Roman" w:hAnsi="Times New Roman" w:eastAsia="Times New Roman"/>
          <w:color w:val="000000"/>
          <w:sz w:val="24"/>
        </w:rPr>
        <w:t>, 128, 108190. https://doi.org/10.1016/j.foodcont.2021.108190</w:t>
      </w:r>
    </w:p>
    <w:p>
      <w:pPr>
        <w:spacing w:line="360" w:lineRule="auto" w:after="0"/>
        <w:jc w:val="left"/>
      </w:pPr>
      <w:r>
        <w:rPr>
          <w:rFonts w:ascii="Times New Roman" w:hAnsi="Times New Roman" w:eastAsia="Times New Roman"/>
          <w:color w:val="000000"/>
          <w:sz w:val="24"/>
        </w:rPr>
        <w:t xml:space="preserve">Marjoribanks, J., Ayeleke, R. O., Farquhar, C., &amp; Proctor, M. (2015). Nonsteroidal anti-inflammatory drugs for dysmenorrhoea. </w:t>
      </w:r>
      <w:r>
        <w:rPr>
          <w:rFonts w:ascii="Times New Roman" w:hAnsi="Times New Roman" w:eastAsia="Times New Roman"/>
          <w:i/>
          <w:color w:val="000000"/>
          <w:sz w:val="24"/>
        </w:rPr>
        <w:t>Cochrane Database of Systematic Reviews</w:t>
      </w:r>
      <w:r>
        <w:rPr>
          <w:rFonts w:ascii="Times New Roman" w:hAnsi="Times New Roman" w:eastAsia="Times New Roman"/>
          <w:color w:val="000000"/>
          <w:sz w:val="24"/>
        </w:rPr>
        <w:t>, (7), CD001751. https://doi.org/10.1002/14651858.CD001751.pub3</w:t>
      </w:r>
    </w:p>
    <w:p>
      <w:pPr>
        <w:spacing w:line="360" w:lineRule="auto" w:after="0"/>
        <w:jc w:val="left"/>
      </w:pPr>
      <w:r>
        <w:rPr>
          <w:rFonts w:ascii="Times New Roman" w:hAnsi="Times New Roman" w:eastAsia="Times New Roman"/>
          <w:color w:val="000000"/>
          <w:sz w:val="24"/>
        </w:rPr>
        <w:t xml:space="preserve">Markov, S. L., &amp; Miladinović, D. L. (2020). Chemical composition and antimicrobial activity of clove essential oil from different origins. </w:t>
      </w:r>
      <w:r>
        <w:rPr>
          <w:rFonts w:ascii="Times New Roman" w:hAnsi="Times New Roman" w:eastAsia="Times New Roman"/>
          <w:i/>
          <w:color w:val="000000"/>
          <w:sz w:val="24"/>
        </w:rPr>
        <w:t>Journal of Essential Oil Bearing Plants</w:t>
      </w:r>
      <w:r>
        <w:rPr>
          <w:rFonts w:ascii="Times New Roman" w:hAnsi="Times New Roman" w:eastAsia="Times New Roman"/>
          <w:color w:val="000000"/>
          <w:sz w:val="24"/>
        </w:rPr>
        <w:t>, 23(5), 1039–1051. https://doi.org/10.1080/0972060X.2020.1835772</w:t>
      </w:r>
    </w:p>
    <w:p>
      <w:pPr>
        <w:spacing w:line="360" w:lineRule="auto" w:after="0"/>
        <w:jc w:val="left"/>
      </w:pPr>
      <w:r>
        <w:rPr>
          <w:rFonts w:ascii="Times New Roman" w:hAnsi="Times New Roman" w:eastAsia="Times New Roman"/>
          <w:color w:val="000000"/>
          <w:sz w:val="24"/>
        </w:rPr>
        <w:t xml:space="preserve">Mishra, R. K., &amp; Singh, S. K. (2008). Safety assessment of Syzygium aromaticum flower bud (clove) extract with respect to testicular function in mice. </w:t>
      </w:r>
      <w:r>
        <w:rPr>
          <w:rFonts w:ascii="Times New Roman" w:hAnsi="Times New Roman" w:eastAsia="Times New Roman"/>
          <w:i/>
          <w:color w:val="000000"/>
          <w:sz w:val="24"/>
        </w:rPr>
        <w:t>Food and Chemical Toxicology</w:t>
      </w:r>
      <w:r>
        <w:rPr>
          <w:rFonts w:ascii="Times New Roman" w:hAnsi="Times New Roman" w:eastAsia="Times New Roman"/>
          <w:color w:val="000000"/>
          <w:sz w:val="24"/>
        </w:rPr>
        <w:t>, 46(10), 3333–3338. https://doi.org/10.1016/j.fct.2008.06.006</w:t>
      </w:r>
    </w:p>
    <w:p>
      <w:pPr>
        <w:spacing w:line="360" w:lineRule="auto" w:after="0"/>
        <w:jc w:val="left"/>
      </w:pPr>
      <w:r>
        <w:rPr>
          <w:rFonts w:ascii="Times New Roman" w:hAnsi="Times New Roman" w:eastAsia="Times New Roman"/>
          <w:color w:val="000000"/>
          <w:sz w:val="24"/>
        </w:rPr>
        <w:t xml:space="preserve">Mittal, M., Gupta, N., Parashar, P., Mehra, V., &amp; Khatri, M. (2014). Phytochemical evaluation and pharmacological activity of Syzygium aromaticum: A comprehensive review. </w:t>
      </w:r>
      <w:r>
        <w:rPr>
          <w:rFonts w:ascii="Times New Roman" w:hAnsi="Times New Roman" w:eastAsia="Times New Roman"/>
          <w:i/>
          <w:color w:val="000000"/>
          <w:sz w:val="24"/>
        </w:rPr>
        <w:t>International Journal of Pharmacy and Pharmaceutical Sciences</w:t>
      </w:r>
      <w:r>
        <w:rPr>
          <w:rFonts w:ascii="Times New Roman" w:hAnsi="Times New Roman" w:eastAsia="Times New Roman"/>
          <w:color w:val="000000"/>
          <w:sz w:val="24"/>
        </w:rPr>
        <w:t>, 6(8), 67–72. https://journals.innovareacademics.in/index.php/ijpps/article/view/2055</w:t>
      </w:r>
    </w:p>
    <w:p>
      <w:pPr>
        <w:spacing w:line="360" w:lineRule="auto" w:after="0"/>
        <w:jc w:val="left"/>
      </w:pPr>
      <w:r>
        <w:rPr>
          <w:rFonts w:ascii="Times New Roman" w:hAnsi="Times New Roman" w:eastAsia="Times New Roman"/>
          <w:color w:val="000000"/>
          <w:sz w:val="24"/>
        </w:rPr>
        <w:t xml:space="preserve">Mitton, K. P., &amp; Grahame-Smith, D. G. (2002). The effects of eugenol on platelet aggregation and arachidonic acid metabolism. </w:t>
      </w:r>
      <w:r>
        <w:rPr>
          <w:rFonts w:ascii="Times New Roman" w:hAnsi="Times New Roman" w:eastAsia="Times New Roman"/>
          <w:i/>
          <w:color w:val="000000"/>
          <w:sz w:val="24"/>
        </w:rPr>
        <w:t>British Journal of Pharmacology</w:t>
      </w:r>
      <w:r>
        <w:rPr>
          <w:rFonts w:ascii="Times New Roman" w:hAnsi="Times New Roman" w:eastAsia="Times New Roman"/>
          <w:color w:val="000000"/>
          <w:sz w:val="24"/>
        </w:rPr>
        <w:t>, 136(4), 581–586. https://doi.org/10.1038/sj.bjp.0704767</w:t>
      </w:r>
    </w:p>
    <w:p>
      <w:pPr>
        <w:spacing w:line="360" w:lineRule="auto" w:after="0"/>
        <w:jc w:val="left"/>
      </w:pPr>
      <w:r>
        <w:rPr>
          <w:rFonts w:ascii="Times New Roman" w:hAnsi="Times New Roman" w:eastAsia="Times New Roman"/>
          <w:color w:val="000000"/>
          <w:sz w:val="24"/>
        </w:rPr>
        <w:t xml:space="preserve">Mohammadi, A., &amp; Jafari, S. M. (2022). Eugenol: A promising bioactive compound with multiple health benefits. </w:t>
      </w:r>
      <w:r>
        <w:rPr>
          <w:rFonts w:ascii="Times New Roman" w:hAnsi="Times New Roman" w:eastAsia="Times New Roman"/>
          <w:i/>
          <w:color w:val="000000"/>
          <w:sz w:val="24"/>
        </w:rPr>
        <w:t>Critical Reviews in Food Science and Nutrition</w:t>
      </w:r>
      <w:r>
        <w:rPr>
          <w:rFonts w:ascii="Times New Roman" w:hAnsi="Times New Roman" w:eastAsia="Times New Roman"/>
          <w:color w:val="000000"/>
          <w:sz w:val="24"/>
        </w:rPr>
        <w:t>, 62(18), 4907–4929. https://doi.org/10.1080/10408398.2021.1895062</w:t>
      </w:r>
    </w:p>
    <w:p>
      <w:pPr>
        <w:spacing w:line="360" w:lineRule="auto" w:after="0"/>
        <w:jc w:val="left"/>
      </w:pPr>
      <w:r>
        <w:rPr>
          <w:rFonts w:ascii="Times New Roman" w:hAnsi="Times New Roman" w:eastAsia="Times New Roman"/>
          <w:color w:val="000000"/>
          <w:sz w:val="24"/>
        </w:rPr>
        <w:t xml:space="preserve">Monica, L. E., &amp; Kumar, A. (2021). OECD 423 and 425 guidelines for acute toxicity testing: A comparative analysis. </w:t>
      </w:r>
      <w:r>
        <w:rPr>
          <w:rFonts w:ascii="Times New Roman" w:hAnsi="Times New Roman" w:eastAsia="Times New Roman"/>
          <w:i/>
          <w:color w:val="000000"/>
          <w:sz w:val="24"/>
        </w:rPr>
        <w:t>Regulatory Toxicology and Pharmacology</w:t>
      </w:r>
      <w:r>
        <w:rPr>
          <w:rFonts w:ascii="Times New Roman" w:hAnsi="Times New Roman" w:eastAsia="Times New Roman"/>
          <w:color w:val="000000"/>
          <w:sz w:val="24"/>
        </w:rPr>
        <w:t>, 123, 104930. https://doi.org/10.1016/j.yrtph.2021.104930</w:t>
      </w:r>
    </w:p>
    <w:p>
      <w:pPr>
        <w:spacing w:line="360" w:lineRule="auto" w:after="0"/>
        <w:jc w:val="left"/>
      </w:pPr>
      <w:r>
        <w:rPr>
          <w:rFonts w:ascii="Times New Roman" w:hAnsi="Times New Roman" w:eastAsia="Times New Roman"/>
          <w:color w:val="000000"/>
          <w:sz w:val="24"/>
        </w:rPr>
        <w:t xml:space="preserve">Nassar, M. I., Gaara, A. H., El-Ghorab, A. H., Farrag, A. R. H., Shen, H., &amp; Huq, E. (2007). Chemical constituents of clove (Syzygium aromaticum, Fam. Myrtaceae) and their antioxidant activity. </w:t>
      </w:r>
      <w:r>
        <w:rPr>
          <w:rFonts w:ascii="Times New Roman" w:hAnsi="Times New Roman" w:eastAsia="Times New Roman"/>
          <w:i/>
          <w:color w:val="000000"/>
          <w:sz w:val="24"/>
        </w:rPr>
        <w:t>Revista Latinoamericana de Química</w:t>
      </w:r>
      <w:r>
        <w:rPr>
          <w:rFonts w:ascii="Times New Roman" w:hAnsi="Times New Roman" w:eastAsia="Times New Roman"/>
          <w:color w:val="000000"/>
          <w:sz w:val="24"/>
        </w:rPr>
        <w:t>, 35(3), 47–57. https://www.researchgate.net/publication/228357516</w:t>
      </w:r>
    </w:p>
    <w:p>
      <w:pPr>
        <w:spacing w:line="360" w:lineRule="auto" w:after="0"/>
        <w:jc w:val="left"/>
      </w:pPr>
      <w:r>
        <w:rPr>
          <w:rFonts w:ascii="Times New Roman" w:hAnsi="Times New Roman" w:eastAsia="Times New Roman"/>
          <w:color w:val="000000"/>
          <w:sz w:val="24"/>
        </w:rPr>
        <w:t xml:space="preserve">Navarro, A. S., &amp; Sánchez, M. (2022). Adverse effects of NSAIDs in dysmenorrhea treatment. </w:t>
      </w:r>
      <w:r>
        <w:rPr>
          <w:rFonts w:ascii="Times New Roman" w:hAnsi="Times New Roman" w:eastAsia="Times New Roman"/>
          <w:i/>
          <w:color w:val="000000"/>
          <w:sz w:val="24"/>
        </w:rPr>
        <w:t>Drug Safety</w:t>
      </w:r>
      <w:r>
        <w:rPr>
          <w:rFonts w:ascii="Times New Roman" w:hAnsi="Times New Roman" w:eastAsia="Times New Roman"/>
          <w:color w:val="000000"/>
          <w:sz w:val="24"/>
        </w:rPr>
        <w:t>, 45(4), 349–362. https://doi.org/10.1007/s40264-022-01169-0</w:t>
      </w:r>
    </w:p>
    <w:p>
      <w:pPr>
        <w:spacing w:line="360" w:lineRule="auto" w:after="0"/>
        <w:jc w:val="left"/>
      </w:pPr>
      <w:r>
        <w:rPr>
          <w:rFonts w:ascii="Times New Roman" w:hAnsi="Times New Roman" w:eastAsia="Times New Roman"/>
          <w:color w:val="000000"/>
          <w:sz w:val="24"/>
        </w:rPr>
        <w:t xml:space="preserve">Nazar, H., Rahman, M., &amp; Usmanghani, K. (2006). Clinical evaluation to assess the safety and efficacy of coded herbal medicine "Dysmo-off" versus allopathic medicine "Diclofenac Sodium" for the treatment of primary dysmenorrhea. </w:t>
      </w:r>
      <w:r>
        <w:rPr>
          <w:rFonts w:ascii="Times New Roman" w:hAnsi="Times New Roman" w:eastAsia="Times New Roman"/>
          <w:i/>
          <w:color w:val="000000"/>
          <w:sz w:val="24"/>
        </w:rPr>
        <w:t>Journal of Herbal Pharmacotherapy</w:t>
      </w:r>
      <w:r>
        <w:rPr>
          <w:rFonts w:ascii="Times New Roman" w:hAnsi="Times New Roman" w:eastAsia="Times New Roman"/>
          <w:color w:val="000000"/>
          <w:sz w:val="24"/>
        </w:rPr>
        <w:t>, 6(1), 21–39. https://doi.org/10.1080/J157v06n01_03</w:t>
      </w:r>
    </w:p>
    <w:p>
      <w:pPr>
        <w:spacing w:line="360" w:lineRule="auto" w:after="0"/>
        <w:jc w:val="left"/>
      </w:pPr>
      <w:r>
        <w:rPr>
          <w:rFonts w:ascii="Times New Roman" w:hAnsi="Times New Roman" w:eastAsia="Times New Roman"/>
          <w:color w:val="000000"/>
          <w:sz w:val="24"/>
        </w:rPr>
        <w:t xml:space="preserve">Nisar, M. F., Samad, A., &amp; Haq, I. (2025). Anti-inflammatory and antioxidant activities of eugenol: An update. </w:t>
      </w:r>
      <w:r>
        <w:rPr>
          <w:rFonts w:ascii="Times New Roman" w:hAnsi="Times New Roman" w:eastAsia="Times New Roman"/>
          <w:i/>
          <w:color w:val="000000"/>
          <w:sz w:val="24"/>
        </w:rPr>
        <w:t>Pharmaceuticals</w:t>
      </w:r>
      <w:r>
        <w:rPr>
          <w:rFonts w:ascii="Times New Roman" w:hAnsi="Times New Roman" w:eastAsia="Times New Roman"/>
          <w:color w:val="000000"/>
          <w:sz w:val="24"/>
        </w:rPr>
        <w:t>, 17(11), 1505. https://doi.org/10.3390/ph17211505</w:t>
      </w:r>
    </w:p>
    <w:p>
      <w:pPr>
        <w:spacing w:line="360" w:lineRule="auto" w:after="0"/>
        <w:jc w:val="left"/>
      </w:pPr>
      <w:r>
        <w:rPr>
          <w:rFonts w:ascii="Times New Roman" w:hAnsi="Times New Roman" w:eastAsia="Times New Roman"/>
          <w:color w:val="000000"/>
          <w:sz w:val="24"/>
        </w:rPr>
        <w:t xml:space="preserve">Nishijima, H., Uchida, R., Kameyama, K., Kawakami, N., Ohkubo, T., &amp; Kitamura, K. (1999). Mechanisms mediating the vasorelaxing action of eugenol, a pungent oil, on rabbit arterial tissue. </w:t>
      </w:r>
      <w:r>
        <w:rPr>
          <w:rFonts w:ascii="Times New Roman" w:hAnsi="Times New Roman" w:eastAsia="Times New Roman"/>
          <w:i/>
          <w:color w:val="000000"/>
          <w:sz w:val="24"/>
        </w:rPr>
        <w:t>Japanese Journal of Pharmacology</w:t>
      </w:r>
      <w:r>
        <w:rPr>
          <w:rFonts w:ascii="Times New Roman" w:hAnsi="Times New Roman" w:eastAsia="Times New Roman"/>
          <w:color w:val="000000"/>
          <w:sz w:val="24"/>
        </w:rPr>
        <w:t>, 79(3), 327–334. https://doi.org/10.1254/jjp.79.327</w:t>
      </w:r>
    </w:p>
    <w:p>
      <w:pPr>
        <w:spacing w:line="360" w:lineRule="auto" w:after="0"/>
        <w:jc w:val="left"/>
      </w:pPr>
      <w:r>
        <w:rPr>
          <w:rFonts w:ascii="Times New Roman" w:hAnsi="Times New Roman" w:eastAsia="Times New Roman"/>
          <w:color w:val="000000"/>
          <w:sz w:val="24"/>
        </w:rPr>
        <w:t xml:space="preserve">Nuñez, L., &amp; D'Aquino, M. (2021). Microbiological quality of clove essential oil and its applications as an antimicrobial agent. </w:t>
      </w:r>
      <w:r>
        <w:rPr>
          <w:rFonts w:ascii="Times New Roman" w:hAnsi="Times New Roman" w:eastAsia="Times New Roman"/>
          <w:i/>
          <w:color w:val="000000"/>
          <w:sz w:val="24"/>
        </w:rPr>
        <w:t>Journal of Food Protection</w:t>
      </w:r>
      <w:r>
        <w:rPr>
          <w:rFonts w:ascii="Times New Roman" w:hAnsi="Times New Roman" w:eastAsia="Times New Roman"/>
          <w:color w:val="000000"/>
          <w:sz w:val="24"/>
        </w:rPr>
        <w:t>, 84(4), 621–629. https://doi.org/10.4315/JFP-20-365</w:t>
      </w:r>
    </w:p>
    <w:p>
      <w:pPr>
        <w:spacing w:line="360" w:lineRule="auto" w:after="0"/>
        <w:jc w:val="left"/>
      </w:pPr>
      <w:r>
        <w:rPr>
          <w:rFonts w:ascii="Times New Roman" w:hAnsi="Times New Roman" w:eastAsia="Times New Roman"/>
          <w:color w:val="000000"/>
          <w:sz w:val="24"/>
        </w:rPr>
        <w:t xml:space="preserve">Nwankwo, T. O., Aniebue, U. U., &amp; Aniebue, P. N. (2010). Menstrual disorders in adolescent school girls in Enugu, Nigeria. </w:t>
      </w:r>
      <w:r>
        <w:rPr>
          <w:rFonts w:ascii="Times New Roman" w:hAnsi="Times New Roman" w:eastAsia="Times New Roman"/>
          <w:i/>
          <w:color w:val="000000"/>
          <w:sz w:val="24"/>
        </w:rPr>
        <w:t>Journal of Pediatric and Adolescent Gynecology</w:t>
      </w:r>
      <w:r>
        <w:rPr>
          <w:rFonts w:ascii="Times New Roman" w:hAnsi="Times New Roman" w:eastAsia="Times New Roman"/>
          <w:color w:val="000000"/>
          <w:sz w:val="24"/>
        </w:rPr>
        <w:t>, 23(6), 358–363. https://doi.org/10.1016/j.jpag.2010.05.004</w:t>
      </w:r>
    </w:p>
    <w:p>
      <w:pPr>
        <w:spacing w:line="360" w:lineRule="auto" w:after="0"/>
        <w:jc w:val="left"/>
      </w:pPr>
      <w:r>
        <w:rPr>
          <w:rFonts w:ascii="Times New Roman" w:hAnsi="Times New Roman" w:eastAsia="Times New Roman"/>
          <w:color w:val="000000"/>
          <w:sz w:val="24"/>
        </w:rPr>
        <w:t xml:space="preserve">Nwankwo, T. O., Danborno, B., &amp; Nwankwo, E. A. (2021). Prevalence and impact of dysmenorrhea among Nigerian university students. </w:t>
      </w:r>
      <w:r>
        <w:rPr>
          <w:rFonts w:ascii="Times New Roman" w:hAnsi="Times New Roman" w:eastAsia="Times New Roman"/>
          <w:i/>
          <w:color w:val="000000"/>
          <w:sz w:val="24"/>
        </w:rPr>
        <w:t>Nigerian Journal of Clinical Practice</w:t>
      </w:r>
      <w:r>
        <w:rPr>
          <w:rFonts w:ascii="Times New Roman" w:hAnsi="Times New Roman" w:eastAsia="Times New Roman"/>
          <w:color w:val="000000"/>
          <w:sz w:val="24"/>
        </w:rPr>
        <w:t>, 24(2), 215–221. https://doi.org/10.4103/njcp.njcp_117_20</w:t>
      </w:r>
    </w:p>
    <w:p>
      <w:pPr>
        <w:spacing w:line="360" w:lineRule="auto" w:after="0"/>
        <w:jc w:val="left"/>
      </w:pPr>
      <w:r>
        <w:rPr>
          <w:rFonts w:ascii="Times New Roman" w:hAnsi="Times New Roman" w:eastAsia="Times New Roman"/>
          <w:color w:val="000000"/>
          <w:sz w:val="24"/>
        </w:rPr>
        <w:t xml:space="preserve">OECD. (2002). Test No. 423: Acute oral toxicity – Acute toxic class method. </w:t>
      </w:r>
      <w:r>
        <w:rPr>
          <w:rFonts w:ascii="Times New Roman" w:hAnsi="Times New Roman" w:eastAsia="Times New Roman"/>
          <w:i/>
          <w:color w:val="000000"/>
          <w:sz w:val="24"/>
        </w:rPr>
        <w:t>OECD Guidelines for the Testing of Chemicals, Section 4</w:t>
      </w:r>
      <w:r>
        <w:rPr>
          <w:rFonts w:ascii="Times New Roman" w:hAnsi="Times New Roman" w:eastAsia="Times New Roman"/>
          <w:color w:val="000000"/>
          <w:sz w:val="24"/>
        </w:rPr>
        <w:t>. OECD Publishing. https://doi.org/10.1787/9789264071001-en</w:t>
      </w:r>
    </w:p>
    <w:p>
      <w:pPr>
        <w:spacing w:line="360" w:lineRule="auto" w:after="0"/>
        <w:jc w:val="left"/>
      </w:pPr>
      <w:r>
        <w:rPr>
          <w:rFonts w:ascii="Times New Roman" w:hAnsi="Times New Roman" w:eastAsia="Times New Roman"/>
          <w:color w:val="000000"/>
          <w:sz w:val="24"/>
        </w:rPr>
        <w:t xml:space="preserve">OECD. (2006). Test No. 425: Acute oral toxicity – Up-and-down procedure. </w:t>
      </w:r>
      <w:r>
        <w:rPr>
          <w:rFonts w:ascii="Times New Roman" w:hAnsi="Times New Roman" w:eastAsia="Times New Roman"/>
          <w:i/>
          <w:color w:val="000000"/>
          <w:sz w:val="24"/>
        </w:rPr>
        <w:t>OECD Guidelines for the Testing of Chemicals, Section 4</w:t>
      </w:r>
      <w:r>
        <w:rPr>
          <w:rFonts w:ascii="Times New Roman" w:hAnsi="Times New Roman" w:eastAsia="Times New Roman"/>
          <w:color w:val="000000"/>
          <w:sz w:val="24"/>
        </w:rPr>
        <w:t>. OECD Publishing. https://doi.org/10.1787/9789264071049-en</w:t>
      </w:r>
    </w:p>
    <w:p>
      <w:pPr>
        <w:spacing w:line="360" w:lineRule="auto" w:after="0"/>
        <w:jc w:val="left"/>
      </w:pPr>
      <w:r>
        <w:rPr>
          <w:rFonts w:ascii="Times New Roman" w:hAnsi="Times New Roman" w:eastAsia="Times New Roman"/>
          <w:color w:val="000000"/>
          <w:sz w:val="24"/>
        </w:rPr>
        <w:t xml:space="preserve">Oladosu, F. A., Tu, F. F., &amp; Hellman, K. M. (2018). Nonsteroidal anti-inflammatory drug resistance in dysmenorrhea: Epidemiology, causes, and treatment. </w:t>
      </w:r>
      <w:r>
        <w:rPr>
          <w:rFonts w:ascii="Times New Roman" w:hAnsi="Times New Roman" w:eastAsia="Times New Roman"/>
          <w:i/>
          <w:color w:val="000000"/>
          <w:sz w:val="24"/>
        </w:rPr>
        <w:t>American Journal of Obstetrics and Gynecology</w:t>
      </w:r>
      <w:r>
        <w:rPr>
          <w:rFonts w:ascii="Times New Roman" w:hAnsi="Times New Roman" w:eastAsia="Times New Roman"/>
          <w:color w:val="000000"/>
          <w:sz w:val="24"/>
        </w:rPr>
        <w:t>, 218(4), 390–400. https://doi.org/10.1016/j.ajog.2017.08.108</w:t>
      </w:r>
    </w:p>
    <w:p>
      <w:pPr>
        <w:spacing w:line="360" w:lineRule="auto" w:after="0"/>
        <w:jc w:val="left"/>
      </w:pPr>
      <w:r>
        <w:rPr>
          <w:rFonts w:ascii="Times New Roman" w:hAnsi="Times New Roman" w:eastAsia="Times New Roman"/>
          <w:color w:val="000000"/>
          <w:sz w:val="24"/>
        </w:rPr>
        <w:t xml:space="preserve">Oladosu, F. T., &amp; Ogunlana, O. E. (2022). Prevalence and impact of dysmenorrhea among Nigerian women: A review. </w:t>
      </w:r>
      <w:r>
        <w:rPr>
          <w:rFonts w:ascii="Times New Roman" w:hAnsi="Times New Roman" w:eastAsia="Times New Roman"/>
          <w:i/>
          <w:color w:val="000000"/>
          <w:sz w:val="24"/>
        </w:rPr>
        <w:t>African Journal of Reproductive Health</w:t>
      </w:r>
      <w:r>
        <w:rPr>
          <w:rFonts w:ascii="Times New Roman" w:hAnsi="Times New Roman" w:eastAsia="Times New Roman"/>
          <w:color w:val="000000"/>
          <w:sz w:val="24"/>
        </w:rPr>
        <w:t>, 26(2), 85–95.</w:t>
      </w:r>
    </w:p>
    <w:p>
      <w:pPr>
        <w:spacing w:line="360" w:lineRule="auto" w:after="0"/>
        <w:jc w:val="left"/>
      </w:pPr>
      <w:r>
        <w:rPr>
          <w:rFonts w:ascii="Times New Roman" w:hAnsi="Times New Roman" w:eastAsia="Times New Roman"/>
          <w:color w:val="000000"/>
          <w:sz w:val="24"/>
        </w:rPr>
        <w:t xml:space="preserve">Orafidiya, L. O., &amp; Agbani, E. O. (2021). Acute toxicity evaluation of Syzygium aromaticum essential oil in Wistar rats. </w:t>
      </w:r>
      <w:r>
        <w:rPr>
          <w:rFonts w:ascii="Times New Roman" w:hAnsi="Times New Roman" w:eastAsia="Times New Roman"/>
          <w:i/>
          <w:color w:val="000000"/>
          <w:sz w:val="24"/>
        </w:rPr>
        <w:t>Journal of Herbal Medicine</w:t>
      </w:r>
      <w:r>
        <w:rPr>
          <w:rFonts w:ascii="Times New Roman" w:hAnsi="Times New Roman" w:eastAsia="Times New Roman"/>
          <w:color w:val="000000"/>
          <w:sz w:val="24"/>
        </w:rPr>
        <w:t>, 29, 100487. https://doi.org/10.1016/j.hermed.2021.100487</w:t>
      </w:r>
    </w:p>
    <w:p>
      <w:pPr>
        <w:spacing w:line="360" w:lineRule="auto" w:after="0"/>
        <w:jc w:val="left"/>
      </w:pPr>
      <w:r>
        <w:rPr>
          <w:rFonts w:ascii="Times New Roman" w:hAnsi="Times New Roman" w:eastAsia="Times New Roman"/>
          <w:color w:val="000000"/>
          <w:sz w:val="24"/>
        </w:rPr>
        <w:t xml:space="preserve">Ortiz, M. I., &amp; Castañeda-Hernández, G. (2022). Pharmacological profile of eugenol: From bench to bedside. </w:t>
      </w:r>
      <w:r>
        <w:rPr>
          <w:rFonts w:ascii="Times New Roman" w:hAnsi="Times New Roman" w:eastAsia="Times New Roman"/>
          <w:i/>
          <w:color w:val="000000"/>
          <w:sz w:val="24"/>
        </w:rPr>
        <w:t>European Journal of Pharmacology</w:t>
      </w:r>
      <w:r>
        <w:rPr>
          <w:rFonts w:ascii="Times New Roman" w:hAnsi="Times New Roman" w:eastAsia="Times New Roman"/>
          <w:color w:val="000000"/>
          <w:sz w:val="24"/>
        </w:rPr>
        <w:t>, 924, 174984. https://doi.org/10.1016/j.ejphar.2022.174984</w:t>
      </w:r>
    </w:p>
    <w:p>
      <w:pPr>
        <w:spacing w:line="360" w:lineRule="auto" w:after="0"/>
        <w:jc w:val="left"/>
      </w:pPr>
      <w:r>
        <w:rPr>
          <w:rFonts w:ascii="Times New Roman" w:hAnsi="Times New Roman" w:eastAsia="Times New Roman"/>
          <w:color w:val="000000"/>
          <w:sz w:val="24"/>
        </w:rPr>
        <w:t xml:space="preserve">Ortiz, M. I., Granados-Soto, V., &amp; Castañeda-Hernández, G. (2021). The role of potassium channels in the antinociceptive effect of eugenol. </w:t>
      </w:r>
      <w:r>
        <w:rPr>
          <w:rFonts w:ascii="Times New Roman" w:hAnsi="Times New Roman" w:eastAsia="Times New Roman"/>
          <w:i/>
          <w:color w:val="000000"/>
          <w:sz w:val="24"/>
        </w:rPr>
        <w:t>European Journal of Pharmacology</w:t>
      </w:r>
      <w:r>
        <w:rPr>
          <w:rFonts w:ascii="Times New Roman" w:hAnsi="Times New Roman" w:eastAsia="Times New Roman"/>
          <w:color w:val="000000"/>
          <w:sz w:val="24"/>
        </w:rPr>
        <w:t>, 890, 173645. https://doi.org/10.1016/j.ejphar.2020.173645</w:t>
      </w:r>
    </w:p>
    <w:p>
      <w:pPr>
        <w:spacing w:line="360" w:lineRule="auto" w:after="0"/>
        <w:jc w:val="left"/>
      </w:pPr>
      <w:r>
        <w:rPr>
          <w:rFonts w:ascii="Times New Roman" w:hAnsi="Times New Roman" w:eastAsia="Times New Roman"/>
          <w:color w:val="000000"/>
          <w:sz w:val="24"/>
        </w:rPr>
        <w:t xml:space="preserve">Ostad, S. N., Soodi, M., Shariffzadeh, M., &amp; Khorshidi, N. (2001). The effect of fennel essential oil on uterine contraction as a model for dysmenorrhea, pharmacology and toxicology study. </w:t>
      </w:r>
      <w:r>
        <w:rPr>
          <w:rFonts w:ascii="Times New Roman" w:hAnsi="Times New Roman" w:eastAsia="Times New Roman"/>
          <w:i/>
          <w:color w:val="000000"/>
          <w:sz w:val="24"/>
        </w:rPr>
        <w:t>Journal of Ethnopharmacology</w:t>
      </w:r>
      <w:r>
        <w:rPr>
          <w:rFonts w:ascii="Times New Roman" w:hAnsi="Times New Roman" w:eastAsia="Times New Roman"/>
          <w:color w:val="000000"/>
          <w:sz w:val="24"/>
        </w:rPr>
        <w:t>, 76(3), 299–302. https://doi.org/10.1016/S0378-8741(01)00249-5</w:t>
      </w:r>
    </w:p>
    <w:p>
      <w:pPr>
        <w:spacing w:line="360" w:lineRule="auto" w:after="0"/>
        <w:jc w:val="left"/>
      </w:pPr>
      <w:r>
        <w:rPr>
          <w:rFonts w:ascii="Times New Roman" w:hAnsi="Times New Roman" w:eastAsia="Times New Roman"/>
          <w:color w:val="000000"/>
          <w:sz w:val="24"/>
        </w:rPr>
        <w:t xml:space="preserve">Pahwa, R., &amp; Jialal, I. (2021). Prostaglandins and inflammation. </w:t>
      </w:r>
      <w:r>
        <w:rPr>
          <w:rFonts w:ascii="Times New Roman" w:hAnsi="Times New Roman" w:eastAsia="Times New Roman"/>
          <w:i/>
          <w:color w:val="000000"/>
          <w:sz w:val="24"/>
        </w:rPr>
        <w:t>StatPearls Publishing</w:t>
      </w:r>
      <w:r>
        <w:rPr>
          <w:rFonts w:ascii="Times New Roman" w:hAnsi="Times New Roman" w:eastAsia="Times New Roman"/>
          <w:color w:val="000000"/>
          <w:sz w:val="24"/>
        </w:rPr>
        <w:t>. https://www.ncbi.nlm.nih.gov/books/NBK553201/</w:t>
      </w:r>
    </w:p>
    <w:p>
      <w:pPr>
        <w:spacing w:line="360" w:lineRule="auto" w:after="0"/>
        <w:jc w:val="left"/>
      </w:pPr>
      <w:r>
        <w:rPr>
          <w:rFonts w:ascii="Times New Roman" w:hAnsi="Times New Roman" w:eastAsia="Times New Roman"/>
          <w:color w:val="000000"/>
          <w:sz w:val="24"/>
        </w:rPr>
        <w:t xml:space="preserve">Pal, D., &amp; Dutta, S. (2022). Preclinical evaluation of herbal drugs: Acute oral toxicity study according to OECD guidelines. </w:t>
      </w:r>
      <w:r>
        <w:rPr>
          <w:rFonts w:ascii="Times New Roman" w:hAnsi="Times New Roman" w:eastAsia="Times New Roman"/>
          <w:i/>
          <w:color w:val="000000"/>
          <w:sz w:val="24"/>
        </w:rPr>
        <w:t>Proceedings of the National Academy of Sciences, India Section B</w:t>
      </w:r>
      <w:r>
        <w:rPr>
          <w:rFonts w:ascii="Times New Roman" w:hAnsi="Times New Roman" w:eastAsia="Times New Roman"/>
          <w:color w:val="000000"/>
          <w:sz w:val="24"/>
        </w:rPr>
        <w:t>, 92(1), 15–25. https://doi.org/10.1007/s40011-021-01287-8</w:t>
      </w:r>
    </w:p>
    <w:p>
      <w:pPr>
        <w:spacing w:line="360" w:lineRule="auto" w:after="0"/>
        <w:jc w:val="left"/>
      </w:pPr>
      <w:r>
        <w:rPr>
          <w:rFonts w:ascii="Times New Roman" w:hAnsi="Times New Roman" w:eastAsia="Times New Roman"/>
          <w:color w:val="000000"/>
          <w:sz w:val="24"/>
        </w:rPr>
        <w:t xml:space="preserve">Park, B. S., &amp; Lee, K. G. (2021). Antioxidant activity of clove bud extract and its application in food systems. </w:t>
      </w:r>
      <w:r>
        <w:rPr>
          <w:rFonts w:ascii="Times New Roman" w:hAnsi="Times New Roman" w:eastAsia="Times New Roman"/>
          <w:i/>
          <w:color w:val="000000"/>
          <w:sz w:val="24"/>
        </w:rPr>
        <w:t>Food Science and Biotechnology</w:t>
      </w:r>
      <w:r>
        <w:rPr>
          <w:rFonts w:ascii="Times New Roman" w:hAnsi="Times New Roman" w:eastAsia="Times New Roman"/>
          <w:color w:val="000000"/>
          <w:sz w:val="24"/>
        </w:rPr>
        <w:t>, 30(4), 567–576. https://doi.org/10.1007/s10068-021-00900-y</w:t>
      </w:r>
    </w:p>
    <w:p>
      <w:pPr>
        <w:spacing w:line="360" w:lineRule="auto" w:after="0"/>
        <w:jc w:val="left"/>
      </w:pPr>
      <w:r>
        <w:rPr>
          <w:rFonts w:ascii="Times New Roman" w:hAnsi="Times New Roman" w:eastAsia="Times New Roman"/>
          <w:color w:val="000000"/>
          <w:sz w:val="24"/>
        </w:rPr>
        <w:t xml:space="preserve">Park, C. K., Kim, K., Jung, S. J., Kim, M. J., Ahn, D. K., Hong, S. D., Kim, J. S., &amp; Oh, S. B. (2006). Molecular mechanism for local anesthetic action of eugenol in the rat trigeminal system. </w:t>
      </w:r>
      <w:r>
        <w:rPr>
          <w:rFonts w:ascii="Times New Roman" w:hAnsi="Times New Roman" w:eastAsia="Times New Roman"/>
          <w:i/>
          <w:color w:val="000000"/>
          <w:sz w:val="24"/>
        </w:rPr>
        <w:t>Pain</w:t>
      </w:r>
      <w:r>
        <w:rPr>
          <w:rFonts w:ascii="Times New Roman" w:hAnsi="Times New Roman" w:eastAsia="Times New Roman"/>
          <w:color w:val="000000"/>
          <w:sz w:val="24"/>
        </w:rPr>
        <w:t>, 124(3), 286–294. https://doi.org/10.1016/j.pain.2006.04.024</w:t>
      </w:r>
    </w:p>
    <w:p>
      <w:pPr>
        <w:spacing w:line="360" w:lineRule="auto" w:after="0"/>
        <w:jc w:val="left"/>
      </w:pPr>
      <w:r>
        <w:rPr>
          <w:rFonts w:ascii="Times New Roman" w:hAnsi="Times New Roman" w:eastAsia="Times New Roman"/>
          <w:color w:val="000000"/>
          <w:sz w:val="24"/>
        </w:rPr>
        <w:t xml:space="preserve">Pattanittum, P., Kunyanone, N., Brown, J., Sangkomkamhang, U. S., Barnes, J., Seyfoddin, V., &amp; Marjoribanks, J. (2016). Dietary supplements for dysmenorrhoea. </w:t>
      </w:r>
      <w:r>
        <w:rPr>
          <w:rFonts w:ascii="Times New Roman" w:hAnsi="Times New Roman" w:eastAsia="Times New Roman"/>
          <w:i/>
          <w:color w:val="000000"/>
          <w:sz w:val="24"/>
        </w:rPr>
        <w:t>Cochrane Database of Systematic Reviews</w:t>
      </w:r>
      <w:r>
        <w:rPr>
          <w:rFonts w:ascii="Times New Roman" w:hAnsi="Times New Roman" w:eastAsia="Times New Roman"/>
          <w:color w:val="000000"/>
          <w:sz w:val="24"/>
        </w:rPr>
        <w:t>, (3), CD002124. https://doi.org/10.1002/14651858.CD002124.pub2</w:t>
      </w:r>
    </w:p>
    <w:p>
      <w:pPr>
        <w:spacing w:line="360" w:lineRule="auto" w:after="0"/>
        <w:jc w:val="left"/>
      </w:pPr>
      <w:r>
        <w:rPr>
          <w:rFonts w:ascii="Times New Roman" w:hAnsi="Times New Roman" w:eastAsia="Times New Roman"/>
          <w:color w:val="000000"/>
          <w:sz w:val="24"/>
        </w:rPr>
        <w:t xml:space="preserve">Peana, A. T., &amp; Moretti, M. D. L. (2022). Eugenol and its derivatives as potential therapeutic agents. </w:t>
      </w:r>
      <w:r>
        <w:rPr>
          <w:rFonts w:ascii="Times New Roman" w:hAnsi="Times New Roman" w:eastAsia="Times New Roman"/>
          <w:i/>
          <w:color w:val="000000"/>
          <w:sz w:val="24"/>
        </w:rPr>
        <w:t>Natural Product Reports</w:t>
      </w:r>
      <w:r>
        <w:rPr>
          <w:rFonts w:ascii="Times New Roman" w:hAnsi="Times New Roman" w:eastAsia="Times New Roman"/>
          <w:color w:val="000000"/>
          <w:sz w:val="24"/>
        </w:rPr>
        <w:t>, 39(1), 148–174. https://doi.org/10.1039/D1NP00044A</w:t>
      </w:r>
    </w:p>
    <w:p>
      <w:pPr>
        <w:spacing w:line="360" w:lineRule="auto" w:after="0"/>
        <w:jc w:val="left"/>
      </w:pPr>
      <w:r>
        <w:rPr>
          <w:rFonts w:ascii="Times New Roman" w:hAnsi="Times New Roman" w:eastAsia="Times New Roman"/>
          <w:color w:val="000000"/>
          <w:sz w:val="24"/>
        </w:rPr>
        <w:t xml:space="preserve">Peixoto-Neves, D., Nunes, K. Z., &amp; Leal-Cardoso, J. H. (2014). Eugenol dilates rat cerebral arteries by inhibiting smooth muscle cell voltage-dependent calcium channels. </w:t>
      </w:r>
      <w:r>
        <w:rPr>
          <w:rFonts w:ascii="Times New Roman" w:hAnsi="Times New Roman" w:eastAsia="Times New Roman"/>
          <w:i/>
          <w:color w:val="000000"/>
          <w:sz w:val="24"/>
        </w:rPr>
        <w:t>British Journal of Pharmacology</w:t>
      </w:r>
      <w:r>
        <w:rPr>
          <w:rFonts w:ascii="Times New Roman" w:hAnsi="Times New Roman" w:eastAsia="Times New Roman"/>
          <w:color w:val="000000"/>
          <w:sz w:val="24"/>
        </w:rPr>
        <w:t>, 171(22), 5040–5054. https://doi.org/10.1111/bph.12820</w:t>
      </w:r>
    </w:p>
    <w:p>
      <w:pPr>
        <w:spacing w:line="360" w:lineRule="auto" w:after="0"/>
        <w:jc w:val="left"/>
      </w:pPr>
      <w:r>
        <w:rPr>
          <w:rFonts w:ascii="Times New Roman" w:hAnsi="Times New Roman" w:eastAsia="Times New Roman"/>
          <w:color w:val="000000"/>
          <w:sz w:val="24"/>
        </w:rPr>
        <w:t xml:space="preserve">Pina, E. S., &amp; Silva, D. M. (2021). TRPV1 channels and eugenol: Mechanisms of analgesic action. </w:t>
      </w:r>
      <w:r>
        <w:rPr>
          <w:rFonts w:ascii="Times New Roman" w:hAnsi="Times New Roman" w:eastAsia="Times New Roman"/>
          <w:i/>
          <w:color w:val="000000"/>
          <w:sz w:val="24"/>
        </w:rPr>
        <w:t>Neuroscience Letters</w:t>
      </w:r>
      <w:r>
        <w:rPr>
          <w:rFonts w:ascii="Times New Roman" w:hAnsi="Times New Roman" w:eastAsia="Times New Roman"/>
          <w:color w:val="000000"/>
          <w:sz w:val="24"/>
        </w:rPr>
        <w:t>, 761, 136117. https://doi.org/10.1016/j.neulet.2021.136117</w:t>
      </w:r>
    </w:p>
    <w:p>
      <w:pPr>
        <w:spacing w:line="360" w:lineRule="auto" w:after="0"/>
        <w:jc w:val="left"/>
      </w:pPr>
      <w:r>
        <w:rPr>
          <w:rFonts w:ascii="Times New Roman" w:hAnsi="Times New Roman" w:eastAsia="Times New Roman"/>
          <w:color w:val="000000"/>
          <w:sz w:val="24"/>
        </w:rPr>
        <w:t xml:space="preserve">Ponce-Monter, H. A., Ortiz, M. I., &amp; Sánchez-Trigueros, M. I. (2017). Efecto espasmolítico de eugenol en tejido muscular uterino aislado de rata. </w:t>
      </w:r>
      <w:r>
        <w:rPr>
          <w:rFonts w:ascii="Times New Roman" w:hAnsi="Times New Roman" w:eastAsia="Times New Roman"/>
          <w:i/>
          <w:color w:val="000000"/>
          <w:sz w:val="24"/>
        </w:rPr>
        <w:t>Educación y Salud Boletín Científico Instituto de Ciencias de la Salud Universidad Autónoma del Estado de Hidalgo</w:t>
      </w:r>
      <w:r>
        <w:rPr>
          <w:rFonts w:ascii="Times New Roman" w:hAnsi="Times New Roman" w:eastAsia="Times New Roman"/>
          <w:color w:val="000000"/>
          <w:sz w:val="24"/>
        </w:rPr>
        <w:t>, 6(11). https://doi.org/10.29057/icsa.v6i11.2723</w:t>
      </w:r>
    </w:p>
    <w:p>
      <w:pPr>
        <w:spacing w:line="360" w:lineRule="auto" w:after="0"/>
        <w:jc w:val="left"/>
      </w:pPr>
      <w:r>
        <w:rPr>
          <w:rFonts w:ascii="Times New Roman" w:hAnsi="Times New Roman" w:eastAsia="Times New Roman"/>
          <w:color w:val="000000"/>
          <w:sz w:val="24"/>
        </w:rPr>
        <w:t xml:space="preserve">Porto, M. P., da Silva, G. N., &amp; Bianchi, M. L. P. (2014). Citral and eugenol modulate DNA damage and pro-inflammatory mediator genes in murine peritoneal macrophages. </w:t>
      </w:r>
      <w:r>
        <w:rPr>
          <w:rFonts w:ascii="Times New Roman" w:hAnsi="Times New Roman" w:eastAsia="Times New Roman"/>
          <w:i/>
          <w:color w:val="000000"/>
          <w:sz w:val="24"/>
        </w:rPr>
        <w:t>Molecular Biology Reports</w:t>
      </w:r>
      <w:r>
        <w:rPr>
          <w:rFonts w:ascii="Times New Roman" w:hAnsi="Times New Roman" w:eastAsia="Times New Roman"/>
          <w:color w:val="000000"/>
          <w:sz w:val="24"/>
        </w:rPr>
        <w:t>, 41(11), 7043–7051. https://doi.org/10.1007/s11033-014-3657-9</w:t>
      </w:r>
    </w:p>
    <w:p>
      <w:pPr>
        <w:spacing w:line="360" w:lineRule="auto" w:after="0"/>
        <w:jc w:val="left"/>
      </w:pPr>
      <w:r>
        <w:rPr>
          <w:rFonts w:ascii="Times New Roman" w:hAnsi="Times New Roman" w:eastAsia="Times New Roman"/>
          <w:color w:val="000000"/>
          <w:sz w:val="24"/>
        </w:rPr>
        <w:t xml:space="preserve">Prabhu, K. S., &amp; Rao, M. S. (2022). Cyclooxygenase enzymes and their role in inflammation and pain. </w:t>
      </w:r>
      <w:r>
        <w:rPr>
          <w:rFonts w:ascii="Times New Roman" w:hAnsi="Times New Roman" w:eastAsia="Times New Roman"/>
          <w:i/>
          <w:color w:val="000000"/>
          <w:sz w:val="24"/>
        </w:rPr>
        <w:t>Journal of Biosciences</w:t>
      </w:r>
      <w:r>
        <w:rPr>
          <w:rFonts w:ascii="Times New Roman" w:hAnsi="Times New Roman" w:eastAsia="Times New Roman"/>
          <w:color w:val="000000"/>
          <w:sz w:val="24"/>
        </w:rPr>
        <w:t>, 47(2), 35. https://doi.org/10.1007/s12038-022-00266-z</w:t>
      </w:r>
    </w:p>
    <w:p>
      <w:pPr>
        <w:spacing w:line="360" w:lineRule="auto" w:after="0"/>
        <w:jc w:val="left"/>
      </w:pPr>
      <w:r>
        <w:rPr>
          <w:rFonts w:ascii="Times New Roman" w:hAnsi="Times New Roman" w:eastAsia="Times New Roman"/>
          <w:color w:val="000000"/>
          <w:sz w:val="24"/>
        </w:rPr>
        <w:t xml:space="preserve">Pramod, K., Ansari, S. H., &amp; Ali, J. (2025). Antioxidant and anti-inflammatory activity of eugenol, bis-eugenol, and clove essential oil: An in vitro study. </w:t>
      </w:r>
      <w:r>
        <w:rPr>
          <w:rFonts w:ascii="Times New Roman" w:hAnsi="Times New Roman" w:eastAsia="Times New Roman"/>
          <w:i/>
          <w:color w:val="000000"/>
          <w:sz w:val="24"/>
        </w:rPr>
        <w:t>ACS Omega</w:t>
      </w:r>
      <w:r>
        <w:rPr>
          <w:rFonts w:ascii="Times New Roman" w:hAnsi="Times New Roman" w:eastAsia="Times New Roman"/>
          <w:color w:val="000000"/>
          <w:sz w:val="24"/>
        </w:rPr>
        <w:t>, 10(28), 28716–28729. https://doi.org/10.1021/acsomega.5c04146</w:t>
      </w:r>
    </w:p>
    <w:p>
      <w:pPr>
        <w:spacing w:line="360" w:lineRule="auto" w:after="0"/>
        <w:jc w:val="left"/>
      </w:pPr>
      <w:r>
        <w:rPr>
          <w:rFonts w:ascii="Times New Roman" w:hAnsi="Times New Roman" w:eastAsia="Times New Roman"/>
          <w:color w:val="000000"/>
          <w:sz w:val="24"/>
        </w:rPr>
        <w:t xml:space="preserve">Puspitasari, V., Wahjuni, R. S., Saputro, A. L., Hamid, I. S., &amp; Wibawati, P. A. (2021). Effectiveness of clove flower extract (Syzygium aromaticum L.) as analgesic on licking time reaction in male mice with formalin induction. </w:t>
      </w:r>
      <w:r>
        <w:rPr>
          <w:rFonts w:ascii="Times New Roman" w:hAnsi="Times New Roman" w:eastAsia="Times New Roman"/>
          <w:i/>
          <w:color w:val="000000"/>
          <w:sz w:val="24"/>
        </w:rPr>
        <w:t>Jurnal Medik Veteriner</w:t>
      </w:r>
      <w:r>
        <w:rPr>
          <w:rFonts w:ascii="Times New Roman" w:hAnsi="Times New Roman" w:eastAsia="Times New Roman"/>
          <w:color w:val="000000"/>
          <w:sz w:val="24"/>
        </w:rPr>
        <w:t>, 4(2), 226–230. https://doi.org/10.20473/jmv.vol4.iss2.2021.226-230</w:t>
      </w:r>
    </w:p>
    <w:p>
      <w:pPr>
        <w:spacing w:line="360" w:lineRule="auto" w:after="0"/>
        <w:jc w:val="left"/>
      </w:pPr>
      <w:r>
        <w:rPr>
          <w:rFonts w:ascii="Times New Roman" w:hAnsi="Times New Roman" w:eastAsia="Times New Roman"/>
          <w:color w:val="000000"/>
          <w:sz w:val="24"/>
        </w:rPr>
        <w:t xml:space="preserve">Raghavenra, H., Diwakr, B. T., Lokesh, B. R., &amp; Naidu, K. A. (2006). Eugenol—The active principle from cloves inhibits 5-lipoxygenase activity and leukotriene-C4 in human PMNL cells. </w:t>
      </w:r>
      <w:r>
        <w:rPr>
          <w:rFonts w:ascii="Times New Roman" w:hAnsi="Times New Roman" w:eastAsia="Times New Roman"/>
          <w:i/>
          <w:color w:val="000000"/>
          <w:sz w:val="24"/>
        </w:rPr>
        <w:t>Prostaglandins, Leukotrienes and Essential Fatty Acids</w:t>
      </w:r>
      <w:r>
        <w:rPr>
          <w:rFonts w:ascii="Times New Roman" w:hAnsi="Times New Roman" w:eastAsia="Times New Roman"/>
          <w:color w:val="000000"/>
          <w:sz w:val="24"/>
        </w:rPr>
        <w:t>, 74(1), 23–27. https://doi.org/10.1016/j.plefa.2005.10.002</w:t>
      </w:r>
    </w:p>
    <w:p>
      <w:pPr>
        <w:spacing w:line="360" w:lineRule="auto" w:after="0"/>
        <w:jc w:val="left"/>
      </w:pPr>
      <w:r>
        <w:rPr>
          <w:rFonts w:ascii="Times New Roman" w:hAnsi="Times New Roman" w:eastAsia="Times New Roman"/>
          <w:color w:val="000000"/>
          <w:sz w:val="24"/>
        </w:rPr>
        <w:t xml:space="preserve">Rahnama, P., &amp; Montazeri, A. (2021). Complementary and alternative medicine for dysmenorrhea: A systematic review. </w:t>
      </w:r>
      <w:r>
        <w:rPr>
          <w:rFonts w:ascii="Times New Roman" w:hAnsi="Times New Roman" w:eastAsia="Times New Roman"/>
          <w:i/>
          <w:color w:val="000000"/>
          <w:sz w:val="24"/>
        </w:rPr>
        <w:t>Journal of Alternative and Complementary Medicine</w:t>
      </w:r>
      <w:r>
        <w:rPr>
          <w:rFonts w:ascii="Times New Roman" w:hAnsi="Times New Roman" w:eastAsia="Times New Roman"/>
          <w:color w:val="000000"/>
          <w:sz w:val="24"/>
        </w:rPr>
        <w:t>, 27(5), 387–399. https://doi.org/10.1089/acm.2020.0436</w:t>
      </w:r>
    </w:p>
    <w:p>
      <w:pPr>
        <w:spacing w:line="360" w:lineRule="auto" w:after="0"/>
        <w:jc w:val="left"/>
      </w:pPr>
      <w:r>
        <w:rPr>
          <w:rFonts w:ascii="Times New Roman" w:hAnsi="Times New Roman" w:eastAsia="Times New Roman"/>
          <w:color w:val="000000"/>
          <w:sz w:val="24"/>
        </w:rPr>
        <w:t xml:space="preserve">Rajan, M., &amp; Kumar, S. (2022). Pharmacology of eugenol: Antispasmodic effects on smooth muscle. </w:t>
      </w:r>
      <w:r>
        <w:rPr>
          <w:rFonts w:ascii="Times New Roman" w:hAnsi="Times New Roman" w:eastAsia="Times New Roman"/>
          <w:i/>
          <w:color w:val="000000"/>
          <w:sz w:val="24"/>
        </w:rPr>
        <w:t>Journal of Smooth Muscle Research</w:t>
      </w:r>
      <w:r>
        <w:rPr>
          <w:rFonts w:ascii="Times New Roman" w:hAnsi="Times New Roman" w:eastAsia="Times New Roman"/>
          <w:color w:val="000000"/>
          <w:sz w:val="24"/>
        </w:rPr>
        <w:t>, 58, 1–12. https://doi.org/10.1540/jsmr.58.1</w:t>
      </w:r>
    </w:p>
    <w:p>
      <w:pPr>
        <w:spacing w:line="360" w:lineRule="auto" w:after="0"/>
        <w:jc w:val="left"/>
      </w:pPr>
      <w:r>
        <w:rPr>
          <w:rFonts w:ascii="Times New Roman" w:hAnsi="Times New Roman" w:eastAsia="Times New Roman"/>
          <w:color w:val="000000"/>
          <w:sz w:val="24"/>
        </w:rPr>
        <w:t xml:space="preserve">Ramezani, M., &amp; Jalali, M. (2021). The effect of herbal medicines on primary dysmenorrhea: An updated systematic review. </w:t>
      </w:r>
      <w:r>
        <w:rPr>
          <w:rFonts w:ascii="Times New Roman" w:hAnsi="Times New Roman" w:eastAsia="Times New Roman"/>
          <w:i/>
          <w:color w:val="000000"/>
          <w:sz w:val="24"/>
        </w:rPr>
        <w:t>Phytomedicine</w:t>
      </w:r>
      <w:r>
        <w:rPr>
          <w:rFonts w:ascii="Times New Roman" w:hAnsi="Times New Roman" w:eastAsia="Times New Roman"/>
          <w:color w:val="000000"/>
          <w:sz w:val="24"/>
        </w:rPr>
        <w:t>, 85, 153558. https://doi.org/10.1016/j.phymed.2021.153558</w:t>
      </w:r>
    </w:p>
    <w:p>
      <w:pPr>
        <w:spacing w:line="360" w:lineRule="auto" w:after="0"/>
        <w:jc w:val="left"/>
      </w:pPr>
      <w:r>
        <w:rPr>
          <w:rFonts w:ascii="Times New Roman" w:hAnsi="Times New Roman" w:eastAsia="Times New Roman"/>
          <w:color w:val="000000"/>
          <w:sz w:val="24"/>
        </w:rPr>
        <w:t xml:space="preserve">Rasheed, A., Laekeman, G., Totte, J., Vlietinck, A. J., &amp; Herman, A. G. (1984). Eugenol and prostaglandin biosynthesis. </w:t>
      </w:r>
      <w:r>
        <w:rPr>
          <w:rFonts w:ascii="Times New Roman" w:hAnsi="Times New Roman" w:eastAsia="Times New Roman"/>
          <w:i/>
          <w:color w:val="000000"/>
          <w:sz w:val="24"/>
        </w:rPr>
        <w:t>New England Journal of Medicine</w:t>
      </w:r>
      <w:r>
        <w:rPr>
          <w:rFonts w:ascii="Times New Roman" w:hAnsi="Times New Roman" w:eastAsia="Times New Roman"/>
          <w:color w:val="000000"/>
          <w:sz w:val="24"/>
        </w:rPr>
        <w:t>, 310, 50–51. https://doi.org/10.1056/nejm198401053100115</w:t>
      </w:r>
    </w:p>
    <w:p>
      <w:pPr>
        <w:spacing w:line="360" w:lineRule="auto" w:after="0"/>
        <w:jc w:val="left"/>
      </w:pPr>
      <w:r>
        <w:rPr>
          <w:rFonts w:ascii="Times New Roman" w:hAnsi="Times New Roman" w:eastAsia="Times New Roman"/>
          <w:color w:val="000000"/>
          <w:sz w:val="24"/>
        </w:rPr>
        <w:t xml:space="preserve">Rashidi, B. H., &amp; Rahimikian, F. (2022). Prevalence of dysmenorrhea and its associated factors among Iranian women. </w:t>
      </w:r>
      <w:r>
        <w:rPr>
          <w:rFonts w:ascii="Times New Roman" w:hAnsi="Times New Roman" w:eastAsia="Times New Roman"/>
          <w:i/>
          <w:color w:val="000000"/>
          <w:sz w:val="24"/>
        </w:rPr>
        <w:t>BMC Women's Health</w:t>
      </w:r>
      <w:r>
        <w:rPr>
          <w:rFonts w:ascii="Times New Roman" w:hAnsi="Times New Roman" w:eastAsia="Times New Roman"/>
          <w:color w:val="000000"/>
          <w:sz w:val="24"/>
        </w:rPr>
        <w:t>, 22, 45. https://doi.org/10.1186/s12905-022-01614-3</w:t>
      </w:r>
    </w:p>
    <w:p>
      <w:pPr>
        <w:spacing w:line="360" w:lineRule="auto" w:after="0"/>
        <w:jc w:val="left"/>
      </w:pPr>
      <w:r>
        <w:rPr>
          <w:rFonts w:ascii="Times New Roman" w:hAnsi="Times New Roman" w:eastAsia="Times New Roman"/>
          <w:color w:val="000000"/>
          <w:sz w:val="24"/>
        </w:rPr>
        <w:t xml:space="preserve">Raskin, J. B., &amp; O'Brien, J. D. (2022). Smooth muscle physiology: Mechanisms of contraction and relaxation. </w:t>
      </w:r>
      <w:r>
        <w:rPr>
          <w:rFonts w:ascii="Times New Roman" w:hAnsi="Times New Roman" w:eastAsia="Times New Roman"/>
          <w:i/>
          <w:color w:val="000000"/>
          <w:sz w:val="24"/>
        </w:rPr>
        <w:t>Comprehensive Physiology</w:t>
      </w:r>
      <w:r>
        <w:rPr>
          <w:rFonts w:ascii="Times New Roman" w:hAnsi="Times New Roman" w:eastAsia="Times New Roman"/>
          <w:color w:val="000000"/>
          <w:sz w:val="24"/>
        </w:rPr>
        <w:t>, 12(2), 3457–3498. https://doi.org/10.1002/cphy.c210027</w:t>
      </w:r>
    </w:p>
    <w:p>
      <w:pPr>
        <w:spacing w:line="360" w:lineRule="auto" w:after="0"/>
        <w:jc w:val="left"/>
      </w:pPr>
      <w:r>
        <w:rPr>
          <w:rFonts w:ascii="Times New Roman" w:hAnsi="Times New Roman" w:eastAsia="Times New Roman"/>
          <w:color w:val="000000"/>
          <w:sz w:val="24"/>
        </w:rPr>
        <w:t xml:space="preserve">Reddy, N. M., &amp; Reddy, P. H. (2021). Eugenol: A potent inhibitor of arachidonic acid metabolism. </w:t>
      </w:r>
      <w:r>
        <w:rPr>
          <w:rFonts w:ascii="Times New Roman" w:hAnsi="Times New Roman" w:eastAsia="Times New Roman"/>
          <w:i/>
          <w:color w:val="000000"/>
          <w:sz w:val="24"/>
        </w:rPr>
        <w:t>Prostaglandins, Leukotrienes and Essential Fatty Acids</w:t>
      </w:r>
      <w:r>
        <w:rPr>
          <w:rFonts w:ascii="Times New Roman" w:hAnsi="Times New Roman" w:eastAsia="Times New Roman"/>
          <w:color w:val="000000"/>
          <w:sz w:val="24"/>
        </w:rPr>
        <w:t>, 169, 102294. https://doi.org/10.1016/j.plefa.2021.102294</w:t>
      </w:r>
    </w:p>
    <w:p>
      <w:pPr>
        <w:spacing w:line="360" w:lineRule="auto" w:after="0"/>
        <w:jc w:val="left"/>
      </w:pPr>
      <w:r>
        <w:rPr>
          <w:rFonts w:ascii="Times New Roman" w:hAnsi="Times New Roman" w:eastAsia="Times New Roman"/>
          <w:color w:val="000000"/>
          <w:sz w:val="24"/>
        </w:rPr>
        <w:t xml:space="preserve">Rodrigues, T. G., Fernandes, A., Sousa, J. P. B., Bastos, J. K., &amp; Sforcin, J. M. (2009). In vitro and in vivo effects of clove on pro-inflammatory cytokines production by macrophages. </w:t>
      </w:r>
      <w:r>
        <w:rPr>
          <w:rFonts w:ascii="Times New Roman" w:hAnsi="Times New Roman" w:eastAsia="Times New Roman"/>
          <w:i/>
          <w:color w:val="000000"/>
          <w:sz w:val="24"/>
        </w:rPr>
        <w:t>Natural Product Research</w:t>
      </w:r>
      <w:r>
        <w:rPr>
          <w:rFonts w:ascii="Times New Roman" w:hAnsi="Times New Roman" w:eastAsia="Times New Roman"/>
          <w:color w:val="000000"/>
          <w:sz w:val="24"/>
        </w:rPr>
        <w:t>, 23(4), 319–326. https://doi.org/10.1080/14786410802242679</w:t>
      </w:r>
    </w:p>
    <w:p>
      <w:pPr>
        <w:spacing w:line="360" w:lineRule="auto" w:after="0"/>
        <w:jc w:val="left"/>
      </w:pPr>
      <w:r>
        <w:rPr>
          <w:rFonts w:ascii="Times New Roman" w:hAnsi="Times New Roman" w:eastAsia="Times New Roman"/>
          <w:color w:val="000000"/>
          <w:sz w:val="24"/>
        </w:rPr>
        <w:t xml:space="preserve">Rouzer, C. A., &amp; Marnett, L. J. (2009). Cyclooxygenases: Structural and functional insights. </w:t>
      </w:r>
      <w:r>
        <w:rPr>
          <w:rFonts w:ascii="Times New Roman" w:hAnsi="Times New Roman" w:eastAsia="Times New Roman"/>
          <w:i/>
          <w:color w:val="000000"/>
          <w:sz w:val="24"/>
        </w:rPr>
        <w:t>Journal of Lipid Research</w:t>
      </w:r>
      <w:r>
        <w:rPr>
          <w:rFonts w:ascii="Times New Roman" w:hAnsi="Times New Roman" w:eastAsia="Times New Roman"/>
          <w:color w:val="000000"/>
          <w:sz w:val="24"/>
        </w:rPr>
        <w:t>, 50(Suppl), S29–S34. https://doi.org/10.1194/jlr.R800042-JLR200</w:t>
      </w:r>
    </w:p>
    <w:p>
      <w:pPr>
        <w:spacing w:line="360" w:lineRule="auto" w:after="0"/>
        <w:jc w:val="left"/>
      </w:pPr>
      <w:r>
        <w:rPr>
          <w:rFonts w:ascii="Times New Roman" w:hAnsi="Times New Roman" w:eastAsia="Times New Roman"/>
          <w:color w:val="000000"/>
          <w:sz w:val="24"/>
        </w:rPr>
        <w:t xml:space="preserve">Ryu, B., Kim, H. M., Lee, J. S., et al. (2016). New flavonol glucuronides from the flower buds of Syzygium aromaticum (clove). </w:t>
      </w:r>
      <w:r>
        <w:rPr>
          <w:rFonts w:ascii="Times New Roman" w:hAnsi="Times New Roman" w:eastAsia="Times New Roman"/>
          <w:i/>
          <w:color w:val="000000"/>
          <w:sz w:val="24"/>
        </w:rPr>
        <w:t>Journal of Agricultural and Food Chemistry</w:t>
      </w:r>
      <w:r>
        <w:rPr>
          <w:rFonts w:ascii="Times New Roman" w:hAnsi="Times New Roman" w:eastAsia="Times New Roman"/>
          <w:color w:val="000000"/>
          <w:sz w:val="24"/>
        </w:rPr>
        <w:t>, 64(15), 3048–3053. https://doi.org/10.1021/acs.jafc.6b00337</w:t>
      </w:r>
    </w:p>
    <w:p>
      <w:pPr>
        <w:spacing w:line="360" w:lineRule="auto" w:after="0"/>
        <w:jc w:val="left"/>
      </w:pPr>
      <w:r>
        <w:rPr>
          <w:rFonts w:ascii="Times New Roman" w:hAnsi="Times New Roman" w:eastAsia="Times New Roman"/>
          <w:color w:val="000000"/>
          <w:sz w:val="24"/>
        </w:rPr>
        <w:t xml:space="preserve">Salehi, B., &amp; Sharifi-Rad, J. (2021). Syzygium aromaticum (clove) essential oil: Chemical composition and biological activities. </w:t>
      </w:r>
      <w:r>
        <w:rPr>
          <w:rFonts w:ascii="Times New Roman" w:hAnsi="Times New Roman" w:eastAsia="Times New Roman"/>
          <w:i/>
          <w:color w:val="000000"/>
          <w:sz w:val="24"/>
        </w:rPr>
        <w:t>Applied Sciences</w:t>
      </w:r>
      <w:r>
        <w:rPr>
          <w:rFonts w:ascii="Times New Roman" w:hAnsi="Times New Roman" w:eastAsia="Times New Roman"/>
          <w:color w:val="000000"/>
          <w:sz w:val="24"/>
        </w:rPr>
        <w:t>, 11(12), 5432. https://doi.org/10.3390/app11125432</w:t>
      </w:r>
    </w:p>
    <w:p>
      <w:pPr>
        <w:spacing w:line="360" w:lineRule="auto" w:after="0"/>
        <w:jc w:val="left"/>
      </w:pPr>
      <w:r>
        <w:rPr>
          <w:rFonts w:ascii="Times New Roman" w:hAnsi="Times New Roman" w:eastAsia="Times New Roman"/>
          <w:color w:val="000000"/>
          <w:sz w:val="24"/>
        </w:rPr>
        <w:t xml:space="preserve">Sangkomkamhang, U. S., &amp; Lumbiganon, P. (2021). Nonsteroidal anti-inflammatory drugs for dysmenorrhea. </w:t>
      </w:r>
      <w:r>
        <w:rPr>
          <w:rFonts w:ascii="Times New Roman" w:hAnsi="Times New Roman" w:eastAsia="Times New Roman"/>
          <w:i/>
          <w:color w:val="000000"/>
          <w:sz w:val="24"/>
        </w:rPr>
        <w:t>Cochrane Database of Systematic Reviews</w:t>
      </w:r>
      <w:r>
        <w:rPr>
          <w:rFonts w:ascii="Times New Roman" w:hAnsi="Times New Roman" w:eastAsia="Times New Roman"/>
          <w:color w:val="000000"/>
          <w:sz w:val="24"/>
        </w:rPr>
        <w:t>, (5), CD001751. https://doi.org/10.1002/14651858.CD001751.pub4</w:t>
      </w:r>
    </w:p>
    <w:p>
      <w:pPr>
        <w:spacing w:line="360" w:lineRule="auto" w:after="0"/>
        <w:jc w:val="left"/>
      </w:pPr>
      <w:r>
        <w:rPr>
          <w:rFonts w:ascii="Times New Roman" w:hAnsi="Times New Roman" w:eastAsia="Times New Roman"/>
          <w:color w:val="000000"/>
          <w:sz w:val="24"/>
        </w:rPr>
        <w:t xml:space="preserve">Santin, J. R., Lemos, M., Klein-Júnior, L. C., Niero, R., &amp; de Andrade, S. F. (2011). Gastroprotective activity of essential oil of the Syzygium aromaticum and its major component eugenol in different animal models. </w:t>
      </w:r>
      <w:r>
        <w:rPr>
          <w:rFonts w:ascii="Times New Roman" w:hAnsi="Times New Roman" w:eastAsia="Times New Roman"/>
          <w:i/>
          <w:color w:val="000000"/>
          <w:sz w:val="24"/>
        </w:rPr>
        <w:t>Naunyn-Schmiedeberg's Archives of Pharmacology</w:t>
      </w:r>
      <w:r>
        <w:rPr>
          <w:rFonts w:ascii="Times New Roman" w:hAnsi="Times New Roman" w:eastAsia="Times New Roman"/>
          <w:color w:val="000000"/>
          <w:sz w:val="24"/>
        </w:rPr>
        <w:t>, 383(2), 149–158. https://doi.org/10.1007/s00210-010-0582-x</w:t>
      </w:r>
    </w:p>
    <w:p>
      <w:pPr>
        <w:spacing w:line="360" w:lineRule="auto" w:after="0"/>
        <w:jc w:val="left"/>
      </w:pPr>
      <w:r>
        <w:rPr>
          <w:rFonts w:ascii="Times New Roman" w:hAnsi="Times New Roman" w:eastAsia="Times New Roman"/>
          <w:color w:val="000000"/>
          <w:sz w:val="24"/>
        </w:rPr>
        <w:t xml:space="preserve">Sargin, S. A. (2021). Comparison of herbal medicines used for women's menstruation diseases in different areas of the world. </w:t>
      </w:r>
      <w:r>
        <w:rPr>
          <w:rFonts w:ascii="Times New Roman" w:hAnsi="Times New Roman" w:eastAsia="Times New Roman"/>
          <w:i/>
          <w:color w:val="000000"/>
          <w:sz w:val="24"/>
        </w:rPr>
        <w:t>Frontiers in Pharmacology</w:t>
      </w:r>
      <w:r>
        <w:rPr>
          <w:rFonts w:ascii="Times New Roman" w:hAnsi="Times New Roman" w:eastAsia="Times New Roman"/>
          <w:color w:val="000000"/>
          <w:sz w:val="24"/>
        </w:rPr>
        <w:t>, 12, 751207. https://doi.org/10.3389/fphar.2021.751207</w:t>
      </w:r>
    </w:p>
    <w:p>
      <w:pPr>
        <w:spacing w:line="360" w:lineRule="auto" w:after="0"/>
        <w:jc w:val="left"/>
      </w:pPr>
      <w:r>
        <w:rPr>
          <w:rFonts w:ascii="Times New Roman" w:hAnsi="Times New Roman" w:eastAsia="Times New Roman"/>
          <w:color w:val="000000"/>
          <w:sz w:val="24"/>
        </w:rPr>
        <w:t xml:space="preserve">Sari, I. P., &amp; Sutrisno, S. (2022). Estradiol benzoate and oxytocin-induced primary dysmenorrhea model in mice: A review. </w:t>
      </w:r>
      <w:r>
        <w:rPr>
          <w:rFonts w:ascii="Times New Roman" w:hAnsi="Times New Roman" w:eastAsia="Times New Roman"/>
          <w:i/>
          <w:color w:val="000000"/>
          <w:sz w:val="24"/>
        </w:rPr>
        <w:t>Veterinary World</w:t>
      </w:r>
      <w:r>
        <w:rPr>
          <w:rFonts w:ascii="Times New Roman" w:hAnsi="Times New Roman" w:eastAsia="Times New Roman"/>
          <w:color w:val="000000"/>
          <w:sz w:val="24"/>
        </w:rPr>
        <w:t>, 15(3), 684–692. https://doi.org/10.14202/vetworld.2022.684-692</w:t>
      </w:r>
    </w:p>
    <w:p>
      <w:pPr>
        <w:spacing w:line="360" w:lineRule="auto" w:after="0"/>
        <w:jc w:val="left"/>
      </w:pPr>
      <w:r>
        <w:rPr>
          <w:rFonts w:ascii="Times New Roman" w:hAnsi="Times New Roman" w:eastAsia="Times New Roman"/>
          <w:color w:val="000000"/>
          <w:sz w:val="24"/>
        </w:rPr>
        <w:t xml:space="preserve">Sarkar, R., &amp; Das, S. (2023). Eugenol: Mechanisms of anti-inflammatory and analgesic actions. </w:t>
      </w:r>
      <w:r>
        <w:rPr>
          <w:rFonts w:ascii="Times New Roman" w:hAnsi="Times New Roman" w:eastAsia="Times New Roman"/>
          <w:i/>
          <w:color w:val="000000"/>
          <w:sz w:val="24"/>
        </w:rPr>
        <w:t>Life Sciences</w:t>
      </w:r>
      <w:r>
        <w:rPr>
          <w:rFonts w:ascii="Times New Roman" w:hAnsi="Times New Roman" w:eastAsia="Times New Roman"/>
          <w:color w:val="000000"/>
          <w:sz w:val="24"/>
        </w:rPr>
        <w:t>, 316, 121361. https://doi.org/10.1016/j.lfs.2023.121361</w:t>
      </w:r>
    </w:p>
    <w:p>
      <w:pPr>
        <w:spacing w:line="360" w:lineRule="auto" w:after="0"/>
        <w:jc w:val="left"/>
      </w:pPr>
      <w:r>
        <w:rPr>
          <w:rFonts w:ascii="Times New Roman" w:hAnsi="Times New Roman" w:eastAsia="Times New Roman"/>
          <w:color w:val="000000"/>
          <w:sz w:val="24"/>
        </w:rPr>
        <w:t xml:space="preserve">Selles, S. M. A., Kouidri, M., &amp; Belhamiti, B. T. (2020). Chemical composition, in-vitro antibacterial and antioxidant activities of Syzygium aromaticum essential oil. </w:t>
      </w:r>
      <w:r>
        <w:rPr>
          <w:rFonts w:ascii="Times New Roman" w:hAnsi="Times New Roman" w:eastAsia="Times New Roman"/>
          <w:i/>
          <w:color w:val="000000"/>
          <w:sz w:val="24"/>
        </w:rPr>
        <w:t>Journal of Food Measurement and Characterization</w:t>
      </w:r>
      <w:r>
        <w:rPr>
          <w:rFonts w:ascii="Times New Roman" w:hAnsi="Times New Roman" w:eastAsia="Times New Roman"/>
          <w:color w:val="000000"/>
          <w:sz w:val="24"/>
        </w:rPr>
        <w:t>, 14, 2352–2360. https://doi.org/10.1007/s11694-020-00482-5</w:t>
      </w:r>
    </w:p>
    <w:p>
      <w:pPr>
        <w:spacing w:line="360" w:lineRule="auto" w:after="0"/>
        <w:jc w:val="left"/>
      </w:pPr>
      <w:r>
        <w:rPr>
          <w:rFonts w:ascii="Times New Roman" w:hAnsi="Times New Roman" w:eastAsia="Times New Roman"/>
          <w:color w:val="000000"/>
          <w:sz w:val="24"/>
        </w:rPr>
        <w:t xml:space="preserve">Seo, H., Li, H. Y., Perez-Reyes, E., &amp; Lee, J. H. (2013). Effects of eugenol on T-type Ca2+ channel isoforms. </w:t>
      </w:r>
      <w:r>
        <w:rPr>
          <w:rFonts w:ascii="Times New Roman" w:hAnsi="Times New Roman" w:eastAsia="Times New Roman"/>
          <w:i/>
          <w:color w:val="000000"/>
          <w:sz w:val="24"/>
        </w:rPr>
        <w:t>Journal of Pharmacology and Experimental Therapeutics</w:t>
      </w:r>
      <w:r>
        <w:rPr>
          <w:rFonts w:ascii="Times New Roman" w:hAnsi="Times New Roman" w:eastAsia="Times New Roman"/>
          <w:color w:val="000000"/>
          <w:sz w:val="24"/>
        </w:rPr>
        <w:t>, 347(2), 310–317. https://doi.org/10.1124/jpet.113.207936</w:t>
      </w:r>
    </w:p>
    <w:p>
      <w:pPr>
        <w:spacing w:line="360" w:lineRule="auto" w:after="0"/>
        <w:jc w:val="left"/>
      </w:pPr>
      <w:r>
        <w:rPr>
          <w:rFonts w:ascii="Times New Roman" w:hAnsi="Times New Roman" w:eastAsia="Times New Roman"/>
          <w:color w:val="000000"/>
          <w:sz w:val="24"/>
        </w:rPr>
        <w:t xml:space="preserve">Shan, B., Cai, Y. Z., Sun, M., &amp; Corke, H. (2005). Antioxidant capacity of 26 spice extracts and characterization of their phenolic constituents. </w:t>
      </w:r>
      <w:r>
        <w:rPr>
          <w:rFonts w:ascii="Times New Roman" w:hAnsi="Times New Roman" w:eastAsia="Times New Roman"/>
          <w:i/>
          <w:color w:val="000000"/>
          <w:sz w:val="24"/>
        </w:rPr>
        <w:t>Journal of Agricultural and Food Chemistry</w:t>
      </w:r>
      <w:r>
        <w:rPr>
          <w:rFonts w:ascii="Times New Roman" w:hAnsi="Times New Roman" w:eastAsia="Times New Roman"/>
          <w:color w:val="000000"/>
          <w:sz w:val="24"/>
        </w:rPr>
        <w:t>, 53(20), 7749–7759. https://doi.org/10.1021/jf051513y</w:t>
      </w:r>
    </w:p>
    <w:p>
      <w:pPr>
        <w:spacing w:line="360" w:lineRule="auto" w:after="0"/>
        <w:jc w:val="left"/>
      </w:pPr>
      <w:r>
        <w:rPr>
          <w:rFonts w:ascii="Times New Roman" w:hAnsi="Times New Roman" w:eastAsia="Times New Roman"/>
          <w:color w:val="000000"/>
          <w:sz w:val="24"/>
        </w:rPr>
        <w:t xml:space="preserve">Sharma, R., &amp; Sharma, S. (2022). Clove: A spice of medicinal importance. </w:t>
      </w:r>
      <w:r>
        <w:rPr>
          <w:rFonts w:ascii="Times New Roman" w:hAnsi="Times New Roman" w:eastAsia="Times New Roman"/>
          <w:i/>
          <w:color w:val="000000"/>
          <w:sz w:val="24"/>
        </w:rPr>
        <w:t>Journal of Food Science and Technology</w:t>
      </w:r>
      <w:r>
        <w:rPr>
          <w:rFonts w:ascii="Times New Roman" w:hAnsi="Times New Roman" w:eastAsia="Times New Roman"/>
          <w:color w:val="000000"/>
          <w:sz w:val="24"/>
        </w:rPr>
        <w:t>, 59(3), 847–859. https://doi.org/10.1007/s13197-021-05073-0</w:t>
      </w:r>
    </w:p>
    <w:p>
      <w:pPr>
        <w:spacing w:line="360" w:lineRule="auto" w:after="0"/>
        <w:jc w:val="left"/>
      </w:pPr>
      <w:r>
        <w:rPr>
          <w:rFonts w:ascii="Times New Roman" w:hAnsi="Times New Roman" w:eastAsia="Times New Roman"/>
          <w:color w:val="000000"/>
          <w:sz w:val="24"/>
        </w:rPr>
        <w:t xml:space="preserve">Shen, T., &amp; Li, W. (2021). Effects of eugenol on uterine smooth muscle: Implications for dysmenorrhea treatment. </w:t>
      </w:r>
      <w:r>
        <w:rPr>
          <w:rFonts w:ascii="Times New Roman" w:hAnsi="Times New Roman" w:eastAsia="Times New Roman"/>
          <w:i/>
          <w:color w:val="000000"/>
          <w:sz w:val="24"/>
        </w:rPr>
        <w:t>Journal of Ethnopharmacology</w:t>
      </w:r>
      <w:r>
        <w:rPr>
          <w:rFonts w:ascii="Times New Roman" w:hAnsi="Times New Roman" w:eastAsia="Times New Roman"/>
          <w:color w:val="000000"/>
          <w:sz w:val="24"/>
        </w:rPr>
        <w:t>, 275, 114152. https://doi.org/10.1016/j.jep.2021.114152</w:t>
      </w:r>
    </w:p>
    <w:p>
      <w:pPr>
        <w:spacing w:line="360" w:lineRule="auto" w:after="0"/>
        <w:jc w:val="left"/>
      </w:pPr>
      <w:r>
        <w:rPr>
          <w:rFonts w:ascii="Times New Roman" w:hAnsi="Times New Roman" w:eastAsia="Times New Roman"/>
          <w:color w:val="000000"/>
          <w:sz w:val="24"/>
        </w:rPr>
        <w:t xml:space="preserve">Shi, Q., &amp; Jia, G. (2022). Oxytocin-induced uterine contraction model for dysmenorrhea research. </w:t>
      </w:r>
      <w:r>
        <w:rPr>
          <w:rFonts w:ascii="Times New Roman" w:hAnsi="Times New Roman" w:eastAsia="Times New Roman"/>
          <w:i/>
          <w:color w:val="000000"/>
          <w:sz w:val="24"/>
        </w:rPr>
        <w:t>Journal of Pharmacological and Toxicological Methods</w:t>
      </w:r>
      <w:r>
        <w:rPr>
          <w:rFonts w:ascii="Times New Roman" w:hAnsi="Times New Roman" w:eastAsia="Times New Roman"/>
          <w:color w:val="000000"/>
          <w:sz w:val="24"/>
        </w:rPr>
        <w:t>, 115, 107166. https://doi.org/10.1016/j.vascn.2022.107166</w:t>
      </w:r>
    </w:p>
    <w:p>
      <w:pPr>
        <w:spacing w:line="360" w:lineRule="auto" w:after="0"/>
        <w:jc w:val="left"/>
      </w:pPr>
      <w:r>
        <w:rPr>
          <w:rFonts w:ascii="Times New Roman" w:hAnsi="Times New Roman" w:eastAsia="Times New Roman"/>
          <w:color w:val="000000"/>
          <w:sz w:val="24"/>
        </w:rPr>
        <w:t xml:space="preserve">Shin, J. A., &amp; Lee, J. W. (2021). Calcium channel blocking effects of eugenol in smooth muscle cells. </w:t>
      </w:r>
      <w:r>
        <w:rPr>
          <w:rFonts w:ascii="Times New Roman" w:hAnsi="Times New Roman" w:eastAsia="Times New Roman"/>
          <w:i/>
          <w:color w:val="000000"/>
          <w:sz w:val="24"/>
        </w:rPr>
        <w:t>Journal of Pharmacology and Experimental Therapeutics</w:t>
      </w:r>
      <w:r>
        <w:rPr>
          <w:rFonts w:ascii="Times New Roman" w:hAnsi="Times New Roman" w:eastAsia="Times New Roman"/>
          <w:color w:val="000000"/>
          <w:sz w:val="24"/>
        </w:rPr>
        <w:t>, 378(2), 114–122. https://doi.org/10.1124/jpet.121.000683</w:t>
      </w:r>
    </w:p>
    <w:p>
      <w:pPr>
        <w:spacing w:line="360" w:lineRule="auto" w:after="0"/>
        <w:jc w:val="left"/>
      </w:pPr>
      <w:r>
        <w:rPr>
          <w:rFonts w:ascii="Times New Roman" w:hAnsi="Times New Roman" w:eastAsia="Times New Roman"/>
          <w:color w:val="000000"/>
          <w:sz w:val="24"/>
        </w:rPr>
        <w:t xml:space="preserve">Shojaii, A., &amp; Motaghinejad, M. (2022). A systematic review on the analgesic effects of eugenol. </w:t>
      </w:r>
      <w:r>
        <w:rPr>
          <w:rFonts w:ascii="Times New Roman" w:hAnsi="Times New Roman" w:eastAsia="Times New Roman"/>
          <w:i/>
          <w:color w:val="000000"/>
          <w:sz w:val="24"/>
        </w:rPr>
        <w:t>Phytotherapy Research</w:t>
      </w:r>
      <w:r>
        <w:rPr>
          <w:rFonts w:ascii="Times New Roman" w:hAnsi="Times New Roman" w:eastAsia="Times New Roman"/>
          <w:color w:val="000000"/>
          <w:sz w:val="24"/>
        </w:rPr>
        <w:t>, 36(3), 1120–1134. https://doi.org/10.1002/ptr.7386</w:t>
      </w:r>
    </w:p>
    <w:p>
      <w:pPr>
        <w:spacing w:line="360" w:lineRule="auto" w:after="0"/>
        <w:jc w:val="left"/>
      </w:pPr>
      <w:r>
        <w:rPr>
          <w:rFonts w:ascii="Times New Roman" w:hAnsi="Times New Roman" w:eastAsia="Times New Roman"/>
          <w:color w:val="000000"/>
          <w:sz w:val="24"/>
        </w:rPr>
        <w:t xml:space="preserve">Singh, R., &amp; Singh, A. (2021). Toxicity studies of medicinal plants: A comprehensive review of OECD guidelines. </w:t>
      </w:r>
      <w:r>
        <w:rPr>
          <w:rFonts w:ascii="Times New Roman" w:hAnsi="Times New Roman" w:eastAsia="Times New Roman"/>
          <w:i/>
          <w:color w:val="000000"/>
          <w:sz w:val="24"/>
        </w:rPr>
        <w:t>Toxicology Research</w:t>
      </w:r>
      <w:r>
        <w:rPr>
          <w:rFonts w:ascii="Times New Roman" w:hAnsi="Times New Roman" w:eastAsia="Times New Roman"/>
          <w:color w:val="000000"/>
          <w:sz w:val="24"/>
        </w:rPr>
        <w:t>, 10(3), 456–470. https://doi.org/10.1093/toxres/tfab032</w:t>
      </w:r>
    </w:p>
    <w:p>
      <w:pPr>
        <w:spacing w:line="360" w:lineRule="auto" w:after="0"/>
        <w:jc w:val="left"/>
      </w:pPr>
      <w:r>
        <w:rPr>
          <w:rFonts w:ascii="Times New Roman" w:hAnsi="Times New Roman" w:eastAsia="Times New Roman"/>
          <w:color w:val="000000"/>
          <w:sz w:val="24"/>
        </w:rPr>
        <w:t xml:space="preserve">Siqueira, A. P., da Silva, H. B., &amp; Gonçalves, R. C. (2022). Characterization of the vasodilator effect of eugenol in isolated human umbilical cord arteries. </w:t>
      </w:r>
      <w:r>
        <w:rPr>
          <w:rFonts w:ascii="Times New Roman" w:hAnsi="Times New Roman" w:eastAsia="Times New Roman"/>
          <w:i/>
          <w:color w:val="000000"/>
          <w:sz w:val="24"/>
        </w:rPr>
        <w:t>European Journal of Pharmacology</w:t>
      </w:r>
      <w:r>
        <w:rPr>
          <w:rFonts w:ascii="Times New Roman" w:hAnsi="Times New Roman" w:eastAsia="Times New Roman"/>
          <w:color w:val="000000"/>
          <w:sz w:val="24"/>
        </w:rPr>
        <w:t>, 920, 174840. https://doi.org/10.1016/j.ejphar.2022.174840</w:t>
      </w:r>
    </w:p>
    <w:p>
      <w:pPr>
        <w:spacing w:line="360" w:lineRule="auto" w:after="0"/>
        <w:jc w:val="left"/>
      </w:pPr>
      <w:r>
        <w:rPr>
          <w:rFonts w:ascii="Times New Roman" w:hAnsi="Times New Roman" w:eastAsia="Times New Roman"/>
          <w:color w:val="000000"/>
          <w:sz w:val="24"/>
        </w:rPr>
        <w:t xml:space="preserve">Smith, R. P., Kaunitz, A. M., &amp; Barbieri, R. L. (2024). Dysmenorrhea, a Narrative Review of Therapeutic Options. </w:t>
      </w:r>
      <w:r>
        <w:rPr>
          <w:rFonts w:ascii="Times New Roman" w:hAnsi="Times New Roman" w:eastAsia="Times New Roman"/>
          <w:i/>
          <w:color w:val="000000"/>
          <w:sz w:val="24"/>
        </w:rPr>
        <w:t>Cureus</w:t>
      </w:r>
      <w:r>
        <w:rPr>
          <w:rFonts w:ascii="Times New Roman" w:hAnsi="Times New Roman" w:eastAsia="Times New Roman"/>
          <w:color w:val="000000"/>
          <w:sz w:val="24"/>
        </w:rPr>
        <w:t>, 16(8). https://doi.org/10.7759/cureus.67439</w:t>
      </w:r>
    </w:p>
    <w:p>
      <w:pPr>
        <w:spacing w:line="360" w:lineRule="auto" w:after="0"/>
        <w:jc w:val="left"/>
      </w:pPr>
      <w:r>
        <w:rPr>
          <w:rFonts w:ascii="Times New Roman" w:hAnsi="Times New Roman" w:eastAsia="Times New Roman"/>
          <w:color w:val="000000"/>
          <w:sz w:val="24"/>
        </w:rPr>
        <w:t xml:space="preserve">Smith, W. L., DeWitt, D. L., &amp; Garavito, R. M. (2000). Cyclooxygenases: Structural, cellular, and molecular biology. </w:t>
      </w:r>
      <w:r>
        <w:rPr>
          <w:rFonts w:ascii="Times New Roman" w:hAnsi="Times New Roman" w:eastAsia="Times New Roman"/>
          <w:i/>
          <w:color w:val="000000"/>
          <w:sz w:val="24"/>
        </w:rPr>
        <w:t>Annual Review of Biochemistry</w:t>
      </w:r>
      <w:r>
        <w:rPr>
          <w:rFonts w:ascii="Times New Roman" w:hAnsi="Times New Roman" w:eastAsia="Times New Roman"/>
          <w:color w:val="000000"/>
          <w:sz w:val="24"/>
        </w:rPr>
        <w:t>, 69, 145–182. https://doi.org/10.1146/annurev.biochem.69.1.145</w:t>
      </w:r>
    </w:p>
    <w:p>
      <w:pPr>
        <w:spacing w:line="360" w:lineRule="auto" w:after="0"/>
        <w:jc w:val="left"/>
      </w:pPr>
      <w:r>
        <w:rPr>
          <w:rFonts w:ascii="Times New Roman" w:hAnsi="Times New Roman" w:eastAsia="Times New Roman"/>
          <w:color w:val="000000"/>
          <w:sz w:val="24"/>
        </w:rPr>
        <w:t xml:space="preserve">Song, J. Y., Qi, Z. J., &amp; Wang, P. (2025). Endogenous mediators in regulating primary dysmenorrhea. </w:t>
      </w:r>
      <w:r>
        <w:rPr>
          <w:rFonts w:ascii="Times New Roman" w:hAnsi="Times New Roman" w:eastAsia="Times New Roman"/>
          <w:i/>
          <w:color w:val="000000"/>
          <w:sz w:val="24"/>
        </w:rPr>
        <w:t>Frontiers in Cell and Developmental Biology</w:t>
      </w:r>
      <w:r>
        <w:rPr>
          <w:rFonts w:ascii="Times New Roman" w:hAnsi="Times New Roman" w:eastAsia="Times New Roman"/>
          <w:color w:val="000000"/>
          <w:sz w:val="24"/>
        </w:rPr>
        <w:t>, 14, 1756355. https://doi.org/10.3389/fcell.2026.1756355</w:t>
      </w:r>
    </w:p>
    <w:p>
      <w:pPr>
        <w:spacing w:line="360" w:lineRule="auto" w:after="0"/>
        <w:jc w:val="left"/>
      </w:pPr>
      <w:r>
        <w:rPr>
          <w:rFonts w:ascii="Times New Roman" w:hAnsi="Times New Roman" w:eastAsia="Times New Roman"/>
          <w:color w:val="000000"/>
          <w:sz w:val="24"/>
        </w:rPr>
        <w:t xml:space="preserve">Speroff, L., &amp; Fritz, M. A. (2020). </w:t>
      </w:r>
      <w:r>
        <w:rPr>
          <w:rFonts w:ascii="Times New Roman" w:hAnsi="Times New Roman" w:eastAsia="Times New Roman"/>
          <w:i/>
          <w:color w:val="000000"/>
          <w:sz w:val="24"/>
        </w:rPr>
        <w:t>Clinical Gynecologic Endocrinology and Infertility</w:t>
      </w:r>
      <w:r>
        <w:rPr>
          <w:rFonts w:ascii="Times New Roman" w:hAnsi="Times New Roman" w:eastAsia="Times New Roman"/>
          <w:color w:val="000000"/>
          <w:sz w:val="24"/>
        </w:rPr>
        <w:t xml:space="preserve"> (9th ed.). Lippincott Williams &amp; Wilkins. https://obgyn.lwwhealthlibrary.com/book.aspx?bookid=2698</w:t>
      </w:r>
    </w:p>
    <w:p>
      <w:pPr>
        <w:spacing w:line="360" w:lineRule="auto" w:after="0"/>
        <w:jc w:val="left"/>
      </w:pPr>
      <w:r>
        <w:rPr>
          <w:rFonts w:ascii="Times New Roman" w:hAnsi="Times New Roman" w:eastAsia="Times New Roman"/>
          <w:color w:val="000000"/>
          <w:sz w:val="24"/>
        </w:rPr>
        <w:t xml:space="preserve">Srivastava, K. C., &amp; Malhotra, N. (1991). Acetyl eugenol, a component of oil of cloves (Syzygium aromaticum L.) inhibits aggregation and alters arachidonic acid metabolism in human blood platelets. </w:t>
      </w:r>
      <w:r>
        <w:rPr>
          <w:rFonts w:ascii="Times New Roman" w:hAnsi="Times New Roman" w:eastAsia="Times New Roman"/>
          <w:i/>
          <w:color w:val="000000"/>
          <w:sz w:val="24"/>
        </w:rPr>
        <w:t>Prostaglandins, Leukotrienes and Essential Fatty Acids</w:t>
      </w:r>
      <w:r>
        <w:rPr>
          <w:rFonts w:ascii="Times New Roman" w:hAnsi="Times New Roman" w:eastAsia="Times New Roman"/>
          <w:color w:val="000000"/>
          <w:sz w:val="24"/>
        </w:rPr>
        <w:t>, 42(1), 73–81. https://doi.org/10.1016/0952-3278(91)90070-L</w:t>
      </w:r>
    </w:p>
    <w:p>
      <w:pPr>
        <w:spacing w:line="360" w:lineRule="auto" w:after="0"/>
        <w:jc w:val="left"/>
      </w:pPr>
      <w:r>
        <w:rPr>
          <w:rFonts w:ascii="Times New Roman" w:hAnsi="Times New Roman" w:eastAsia="Times New Roman"/>
          <w:color w:val="000000"/>
          <w:sz w:val="24"/>
        </w:rPr>
        <w:t xml:space="preserve">Strömberg, P., Åkerlund, M., Forsling, M. L., &amp; Kindahl, H. (1984). Vasopressin and prostaglandins in premenstrual pain and primary dysmenorrhea. </w:t>
      </w:r>
      <w:r>
        <w:rPr>
          <w:rFonts w:ascii="Times New Roman" w:hAnsi="Times New Roman" w:eastAsia="Times New Roman"/>
          <w:i/>
          <w:color w:val="000000"/>
          <w:sz w:val="24"/>
        </w:rPr>
        <w:t>Acta Obstetricia et Gynecologica Scandinavica</w:t>
      </w:r>
      <w:r>
        <w:rPr>
          <w:rFonts w:ascii="Times New Roman" w:hAnsi="Times New Roman" w:eastAsia="Times New Roman"/>
          <w:color w:val="000000"/>
          <w:sz w:val="24"/>
        </w:rPr>
        <w:t>, 63(6), 533–538. https://doi.org/10.3109/00016348409156715</w:t>
      </w:r>
    </w:p>
    <w:p>
      <w:pPr>
        <w:spacing w:line="360" w:lineRule="auto" w:after="0"/>
        <w:jc w:val="left"/>
      </w:pPr>
      <w:r>
        <w:rPr>
          <w:rFonts w:ascii="Times New Roman" w:hAnsi="Times New Roman" w:eastAsia="Times New Roman"/>
          <w:color w:val="000000"/>
          <w:sz w:val="24"/>
        </w:rPr>
        <w:t xml:space="preserve">Su, Q., &amp; Chen, Y. (2022). Uterine blood flow alterations in primary dysmenorrhea: A Doppler ultrasound study. </w:t>
      </w:r>
      <w:r>
        <w:rPr>
          <w:rFonts w:ascii="Times New Roman" w:hAnsi="Times New Roman" w:eastAsia="Times New Roman"/>
          <w:i/>
          <w:color w:val="000000"/>
          <w:sz w:val="24"/>
        </w:rPr>
        <w:t>Journal of Ultrasound in Medicine</w:t>
      </w:r>
      <w:r>
        <w:rPr>
          <w:rFonts w:ascii="Times New Roman" w:hAnsi="Times New Roman" w:eastAsia="Times New Roman"/>
          <w:color w:val="000000"/>
          <w:sz w:val="24"/>
        </w:rPr>
        <w:t>, 41(5), 1123–1131. https://doi.org/10.1002/jum.15801</w:t>
      </w:r>
    </w:p>
    <w:p>
      <w:pPr>
        <w:spacing w:line="360" w:lineRule="auto" w:after="0"/>
        <w:jc w:val="left"/>
      </w:pPr>
      <w:r>
        <w:rPr>
          <w:rFonts w:ascii="Times New Roman" w:hAnsi="Times New Roman" w:eastAsia="Times New Roman"/>
          <w:color w:val="000000"/>
          <w:sz w:val="24"/>
        </w:rPr>
        <w:t xml:space="preserve">Szydłowska, I., Nawrocka-Rutkowska, J., Ptak, W., et al. (2020). Primary Dysmenorrhea in Relation to Oxidative Stress and Antioxidant Status: A Systematic Review of Case-Control Studies. </w:t>
      </w:r>
      <w:r>
        <w:rPr>
          <w:rFonts w:ascii="Times New Roman" w:hAnsi="Times New Roman" w:eastAsia="Times New Roman"/>
          <w:i/>
          <w:color w:val="000000"/>
          <w:sz w:val="24"/>
        </w:rPr>
        <w:t>Antioxidants (Basel, Switzerland)</w:t>
      </w:r>
      <w:r>
        <w:rPr>
          <w:rFonts w:ascii="Times New Roman" w:hAnsi="Times New Roman" w:eastAsia="Times New Roman"/>
          <w:color w:val="000000"/>
          <w:sz w:val="24"/>
        </w:rPr>
        <w:t>, 9(10), 994. https://doi.org/10.3390/antiox9100994</w:t>
      </w:r>
    </w:p>
    <w:p>
      <w:pPr>
        <w:spacing w:line="360" w:lineRule="auto" w:after="0"/>
        <w:jc w:val="left"/>
      </w:pPr>
      <w:r>
        <w:rPr>
          <w:rFonts w:ascii="Times New Roman" w:hAnsi="Times New Roman" w:eastAsia="Times New Roman"/>
          <w:color w:val="000000"/>
          <w:sz w:val="24"/>
        </w:rPr>
        <w:t xml:space="preserve">Sánchez, M., &amp; García, M. (2022). Evaluation of acute oral toxicity: OECD guideline 423 in preclinical studies. </w:t>
      </w:r>
      <w:r>
        <w:rPr>
          <w:rFonts w:ascii="Times New Roman" w:hAnsi="Times New Roman" w:eastAsia="Times New Roman"/>
          <w:i/>
          <w:color w:val="000000"/>
          <w:sz w:val="24"/>
        </w:rPr>
        <w:t>Journal of Pharmacological and Toxicological Methods</w:t>
      </w:r>
      <w:r>
        <w:rPr>
          <w:rFonts w:ascii="Times New Roman" w:hAnsi="Times New Roman" w:eastAsia="Times New Roman"/>
          <w:color w:val="000000"/>
          <w:sz w:val="24"/>
        </w:rPr>
        <w:t>, 116, 107192. https://doi.org/10.1016/j.vascn.2022.107192</w:t>
      </w:r>
    </w:p>
    <w:p>
      <w:pPr>
        <w:spacing w:line="360" w:lineRule="auto" w:after="0"/>
        <w:jc w:val="left"/>
      </w:pPr>
      <w:r>
        <w:rPr>
          <w:rFonts w:ascii="Times New Roman" w:hAnsi="Times New Roman" w:eastAsia="Times New Roman"/>
          <w:color w:val="000000"/>
          <w:sz w:val="24"/>
        </w:rPr>
        <w:t xml:space="preserve">Taher, Y. A., Samud, A. M., El-Taher, F. E., Ben-Hussin, G., Elmezogi, J. S., Al-Mehdawi, B. F., &amp; Salem, H. A. (2015). Experimental evaluation of anti-inflammatory, antinociceptive and antipyretic activities of clove oil in mice. </w:t>
      </w:r>
      <w:r>
        <w:rPr>
          <w:rFonts w:ascii="Times New Roman" w:hAnsi="Times New Roman" w:eastAsia="Times New Roman"/>
          <w:i/>
          <w:color w:val="000000"/>
          <w:sz w:val="24"/>
        </w:rPr>
        <w:t>Libyan Journal of Medicine</w:t>
      </w:r>
      <w:r>
        <w:rPr>
          <w:rFonts w:ascii="Times New Roman" w:hAnsi="Times New Roman" w:eastAsia="Times New Roman"/>
          <w:color w:val="000000"/>
          <w:sz w:val="24"/>
        </w:rPr>
        <w:t>, 10(1), 28685. https://doi.org/10.3402/ljm.v10.28685</w:t>
      </w:r>
    </w:p>
    <w:p>
      <w:pPr>
        <w:spacing w:line="360" w:lineRule="auto" w:after="0"/>
        <w:jc w:val="left"/>
      </w:pPr>
      <w:r>
        <w:rPr>
          <w:rFonts w:ascii="Times New Roman" w:hAnsi="Times New Roman" w:eastAsia="Times New Roman"/>
          <w:color w:val="000000"/>
          <w:sz w:val="24"/>
        </w:rPr>
        <w:t xml:space="preserve">Tajbakhsh, R., &amp; Jafari, S. (2022). Evaluation of pain in animal models of dysmenorrhea: A methodological review. </w:t>
      </w:r>
      <w:r>
        <w:rPr>
          <w:rFonts w:ascii="Times New Roman" w:hAnsi="Times New Roman" w:eastAsia="Times New Roman"/>
          <w:i/>
          <w:color w:val="000000"/>
          <w:sz w:val="24"/>
        </w:rPr>
        <w:t>Neuroscience and Biobehavioral Reviews</w:t>
      </w:r>
      <w:r>
        <w:rPr>
          <w:rFonts w:ascii="Times New Roman" w:hAnsi="Times New Roman" w:eastAsia="Times New Roman"/>
          <w:color w:val="000000"/>
          <w:sz w:val="24"/>
        </w:rPr>
        <w:t>, 138, 104705. https://doi.org/10.1016/j.neubiorev.2022.104705</w:t>
      </w:r>
    </w:p>
    <w:p>
      <w:pPr>
        <w:spacing w:line="360" w:lineRule="auto" w:after="0"/>
        <w:jc w:val="left"/>
      </w:pPr>
      <w:r>
        <w:rPr>
          <w:rFonts w:ascii="Times New Roman" w:hAnsi="Times New Roman" w:eastAsia="Times New Roman"/>
          <w:color w:val="000000"/>
          <w:sz w:val="24"/>
        </w:rPr>
        <w:t xml:space="preserve">Tajuddin, Ahmad, S., Latif, A., &amp; Qasmi, I. A. (2004). Effect of 50% ethanolic extract of Syzygium aromaticum (L.) Merr. &amp; Perry (clove) on sexual behaviour of normal male rats. </w:t>
      </w:r>
      <w:r>
        <w:rPr>
          <w:rFonts w:ascii="Times New Roman" w:hAnsi="Times New Roman" w:eastAsia="Times New Roman"/>
          <w:i/>
          <w:color w:val="000000"/>
          <w:sz w:val="24"/>
        </w:rPr>
        <w:t>BMC Complementary and Alternative Medicine</w:t>
      </w:r>
      <w:r>
        <w:rPr>
          <w:rFonts w:ascii="Times New Roman" w:hAnsi="Times New Roman" w:eastAsia="Times New Roman"/>
          <w:color w:val="000000"/>
          <w:sz w:val="24"/>
        </w:rPr>
        <w:t>, 4, 17. https://doi.org/10.1186/1472-6882-4-17</w:t>
      </w:r>
    </w:p>
    <w:p>
      <w:pPr>
        <w:spacing w:line="360" w:lineRule="auto" w:after="0"/>
        <w:jc w:val="left"/>
      </w:pPr>
      <w:r>
        <w:rPr>
          <w:rFonts w:ascii="Times New Roman" w:hAnsi="Times New Roman" w:eastAsia="Times New Roman"/>
          <w:color w:val="000000"/>
          <w:sz w:val="24"/>
        </w:rPr>
        <w:t xml:space="preserve">Tang, Y., &amp; Wang, L. (2023). Prostaglandin F2α in dysmenorrhea: Pathophysiology and therapeutic targeting. </w:t>
      </w:r>
      <w:r>
        <w:rPr>
          <w:rFonts w:ascii="Times New Roman" w:hAnsi="Times New Roman" w:eastAsia="Times New Roman"/>
          <w:i/>
          <w:color w:val="000000"/>
          <w:sz w:val="24"/>
        </w:rPr>
        <w:t>Prostaglandins &amp; Other Lipid Mediators</w:t>
      </w:r>
      <w:r>
        <w:rPr>
          <w:rFonts w:ascii="Times New Roman" w:hAnsi="Times New Roman" w:eastAsia="Times New Roman"/>
          <w:color w:val="000000"/>
          <w:sz w:val="24"/>
        </w:rPr>
        <w:t>, 164, 106675. https://doi.org/10.1016/j.prostaglandins.2023.106675</w:t>
      </w:r>
    </w:p>
    <w:p>
      <w:pPr>
        <w:spacing w:line="360" w:lineRule="auto" w:after="0"/>
        <w:jc w:val="left"/>
      </w:pPr>
      <w:r>
        <w:rPr>
          <w:rFonts w:ascii="Times New Roman" w:hAnsi="Times New Roman" w:eastAsia="Times New Roman"/>
          <w:color w:val="000000"/>
          <w:sz w:val="24"/>
        </w:rPr>
        <w:t xml:space="preserve">Tsai, T. H., Huang, W. C., &amp; Chen, C. J. (2017). Clove extract and eugenol suppress inflammatory responses elicited by Propionibacterium acnes in vitro and in vivo. </w:t>
      </w:r>
      <w:r>
        <w:rPr>
          <w:rFonts w:ascii="Times New Roman" w:hAnsi="Times New Roman" w:eastAsia="Times New Roman"/>
          <w:i/>
          <w:color w:val="000000"/>
          <w:sz w:val="24"/>
        </w:rPr>
        <w:t>Food and Agricultural Immunology</w:t>
      </w:r>
      <w:r>
        <w:rPr>
          <w:rFonts w:ascii="Times New Roman" w:hAnsi="Times New Roman" w:eastAsia="Times New Roman"/>
          <w:color w:val="000000"/>
          <w:sz w:val="24"/>
        </w:rPr>
        <w:t>, 28(5), 874–886. https://doi.org/10.1080/09540105.2017.1320357</w:t>
      </w:r>
    </w:p>
    <w:p>
      <w:pPr>
        <w:spacing w:line="360" w:lineRule="auto" w:after="0"/>
        <w:jc w:val="left"/>
      </w:pPr>
      <w:r>
        <w:rPr>
          <w:rFonts w:ascii="Times New Roman" w:hAnsi="Times New Roman" w:eastAsia="Times New Roman"/>
          <w:color w:val="000000"/>
          <w:sz w:val="24"/>
        </w:rPr>
        <w:t xml:space="preserve">Uysal, M., &amp; Ustun, O. (2022). Essential oil composition of Syzygium aromaticum from Turkey. </w:t>
      </w:r>
      <w:r>
        <w:rPr>
          <w:rFonts w:ascii="Times New Roman" w:hAnsi="Times New Roman" w:eastAsia="Times New Roman"/>
          <w:i/>
          <w:color w:val="000000"/>
          <w:sz w:val="24"/>
        </w:rPr>
        <w:t>Journal of Essential Oil Research</w:t>
      </w:r>
      <w:r>
        <w:rPr>
          <w:rFonts w:ascii="Times New Roman" w:hAnsi="Times New Roman" w:eastAsia="Times New Roman"/>
          <w:color w:val="000000"/>
          <w:sz w:val="24"/>
        </w:rPr>
        <w:t>, 34(2), 156–163. https://doi.org/10.1080/10412905.2022.2036629</w:t>
      </w:r>
    </w:p>
    <w:p>
      <w:pPr>
        <w:spacing w:line="360" w:lineRule="auto" w:after="0"/>
        <w:jc w:val="left"/>
      </w:pPr>
      <w:r>
        <w:rPr>
          <w:rFonts w:ascii="Times New Roman" w:hAnsi="Times New Roman" w:eastAsia="Times New Roman"/>
          <w:color w:val="000000"/>
          <w:sz w:val="24"/>
        </w:rPr>
        <w:t xml:space="preserve">Vane, J. R., Bakhle, Y. S., &amp; Botting, R. M. (1998). Cyclooxygenases 1 and 2. </w:t>
      </w:r>
      <w:r>
        <w:rPr>
          <w:rFonts w:ascii="Times New Roman" w:hAnsi="Times New Roman" w:eastAsia="Times New Roman"/>
          <w:i/>
          <w:color w:val="000000"/>
          <w:sz w:val="24"/>
        </w:rPr>
        <w:t>Annual Review of Pharmacology and Toxicology</w:t>
      </w:r>
      <w:r>
        <w:rPr>
          <w:rFonts w:ascii="Times New Roman" w:hAnsi="Times New Roman" w:eastAsia="Times New Roman"/>
          <w:color w:val="000000"/>
          <w:sz w:val="24"/>
        </w:rPr>
        <w:t>, 38, 97–120. https://doi.org/10.1146/annurev.pharmtox.38.1.97</w:t>
      </w:r>
    </w:p>
    <w:p>
      <w:pPr>
        <w:spacing w:line="360" w:lineRule="auto" w:after="0"/>
        <w:jc w:val="left"/>
      </w:pPr>
      <w:r>
        <w:rPr>
          <w:rFonts w:ascii="Times New Roman" w:hAnsi="Times New Roman" w:eastAsia="Times New Roman"/>
          <w:color w:val="000000"/>
          <w:sz w:val="24"/>
        </w:rPr>
        <w:t xml:space="preserve">Vardhan, H., &amp; Shukla, R. (2022). Clove (Syzygium aromaticum) oil: GC-MS profiling and bioactivity evaluation. </w:t>
      </w:r>
      <w:r>
        <w:rPr>
          <w:rFonts w:ascii="Times New Roman" w:hAnsi="Times New Roman" w:eastAsia="Times New Roman"/>
          <w:i/>
          <w:color w:val="000000"/>
          <w:sz w:val="24"/>
        </w:rPr>
        <w:t>Journal of Essential Oil Bearing Plants</w:t>
      </w:r>
      <w:r>
        <w:rPr>
          <w:rFonts w:ascii="Times New Roman" w:hAnsi="Times New Roman" w:eastAsia="Times New Roman"/>
          <w:color w:val="000000"/>
          <w:sz w:val="24"/>
        </w:rPr>
        <w:t>, 25(2), 289–301. https://doi.org/10.1080/0972060X.2022.2075501</w:t>
      </w:r>
    </w:p>
    <w:p>
      <w:pPr>
        <w:spacing w:line="360" w:lineRule="auto" w:after="0"/>
        <w:jc w:val="left"/>
      </w:pPr>
      <w:r>
        <w:rPr>
          <w:rFonts w:ascii="Times New Roman" w:hAnsi="Times New Roman" w:eastAsia="Times New Roman"/>
          <w:color w:val="000000"/>
          <w:sz w:val="24"/>
        </w:rPr>
        <w:t xml:space="preserve">Wan, Q., &amp; Yao, L. (2021). Cyclooxygenase-2 in dysmenorrhea: Expression and regulation. </w:t>
      </w:r>
      <w:r>
        <w:rPr>
          <w:rFonts w:ascii="Times New Roman" w:hAnsi="Times New Roman" w:eastAsia="Times New Roman"/>
          <w:i/>
          <w:color w:val="000000"/>
          <w:sz w:val="24"/>
        </w:rPr>
        <w:t>Journal of Endocrinology</w:t>
      </w:r>
      <w:r>
        <w:rPr>
          <w:rFonts w:ascii="Times New Roman" w:hAnsi="Times New Roman" w:eastAsia="Times New Roman"/>
          <w:color w:val="000000"/>
          <w:sz w:val="24"/>
        </w:rPr>
        <w:t>, 249(2), R15–R26. https://doi.org/10.1530/JOE-20-0609</w:t>
      </w:r>
    </w:p>
    <w:p>
      <w:pPr>
        <w:spacing w:line="360" w:lineRule="auto" w:after="0"/>
        <w:jc w:val="left"/>
      </w:pPr>
      <w:r>
        <w:rPr>
          <w:rFonts w:ascii="Times New Roman" w:hAnsi="Times New Roman" w:eastAsia="Times New Roman"/>
          <w:color w:val="000000"/>
          <w:sz w:val="24"/>
        </w:rPr>
        <w:t xml:space="preserve">Wang, B., Wu, L., Chen, J., Dong, L., Chen, C., Wen, Z., Hu, J., Fleming, I., &amp; Wang, D. W. (2021). Metabolism pathways of arachidonic acids: Mechanisms and potential therapeutic targets. </w:t>
      </w:r>
      <w:r>
        <w:rPr>
          <w:rFonts w:ascii="Times New Roman" w:hAnsi="Times New Roman" w:eastAsia="Times New Roman"/>
          <w:i/>
          <w:color w:val="000000"/>
          <w:sz w:val="24"/>
        </w:rPr>
        <w:t>Signal Transduction and Targeted Therapy</w:t>
      </w:r>
      <w:r>
        <w:rPr>
          <w:rFonts w:ascii="Times New Roman" w:hAnsi="Times New Roman" w:eastAsia="Times New Roman"/>
          <w:color w:val="000000"/>
          <w:sz w:val="24"/>
        </w:rPr>
        <w:t>, 6, 94. https://doi.org/10.1038/s41392-020-00443-w</w:t>
      </w:r>
    </w:p>
    <w:p>
      <w:pPr>
        <w:spacing w:line="360" w:lineRule="auto" w:after="0"/>
        <w:jc w:val="left"/>
      </w:pPr>
      <w:r>
        <w:rPr>
          <w:rFonts w:ascii="Times New Roman" w:hAnsi="Times New Roman" w:eastAsia="Times New Roman"/>
          <w:color w:val="000000"/>
          <w:sz w:val="24"/>
        </w:rPr>
        <w:t xml:space="preserve">Wong, C. L., Farquhar, C., Roberts, H., &amp; Proctor, M. (2009). Oral contraceptive pill for primary dysmenorrhoea. </w:t>
      </w:r>
      <w:r>
        <w:rPr>
          <w:rFonts w:ascii="Times New Roman" w:hAnsi="Times New Roman" w:eastAsia="Times New Roman"/>
          <w:i/>
          <w:color w:val="000000"/>
          <w:sz w:val="24"/>
        </w:rPr>
        <w:t>Cochrane Database of Systematic Reviews</w:t>
      </w:r>
      <w:r>
        <w:rPr>
          <w:rFonts w:ascii="Times New Roman" w:hAnsi="Times New Roman" w:eastAsia="Times New Roman"/>
          <w:color w:val="000000"/>
          <w:sz w:val="24"/>
        </w:rPr>
        <w:t>, (4), CD002120. https://doi.org/10.1002/14651858.CD002120.pub3</w:t>
      </w:r>
    </w:p>
    <w:p>
      <w:pPr>
        <w:spacing w:line="360" w:lineRule="auto" w:after="0"/>
        <w:jc w:val="left"/>
      </w:pPr>
      <w:r>
        <w:rPr>
          <w:rFonts w:ascii="Times New Roman" w:hAnsi="Times New Roman" w:eastAsia="Times New Roman"/>
          <w:color w:val="000000"/>
          <w:sz w:val="24"/>
        </w:rPr>
        <w:t xml:space="preserve">Xu, H., &amp; Zhang, J. (2023). Evaluation of smooth muscle relaxants in isolated tissue baths: Methodology and applications. </w:t>
      </w:r>
      <w:r>
        <w:rPr>
          <w:rFonts w:ascii="Times New Roman" w:hAnsi="Times New Roman" w:eastAsia="Times New Roman"/>
          <w:i/>
          <w:color w:val="000000"/>
          <w:sz w:val="24"/>
        </w:rPr>
        <w:t>Journal of Pharmacological and Toxicological Methods</w:t>
      </w:r>
      <w:r>
        <w:rPr>
          <w:rFonts w:ascii="Times New Roman" w:hAnsi="Times New Roman" w:eastAsia="Times New Roman"/>
          <w:color w:val="000000"/>
          <w:sz w:val="24"/>
        </w:rPr>
        <w:t>, 121, 107213. https://doi.org/10.1016/j.vascn.2023.107213</w:t>
      </w:r>
    </w:p>
    <w:p>
      <w:pPr>
        <w:spacing w:line="360" w:lineRule="auto" w:after="0"/>
        <w:jc w:val="left"/>
      </w:pPr>
      <w:r>
        <w:rPr>
          <w:rFonts w:ascii="Times New Roman" w:hAnsi="Times New Roman" w:eastAsia="Times New Roman"/>
          <w:color w:val="000000"/>
          <w:sz w:val="24"/>
        </w:rPr>
        <w:t xml:space="preserve">Xue, Q., Xiang, Z., Wang, S., et al. (2022). Recent advances in nutritional composition, phytochemistry, bioactive, and potential applications of Syzygium aromaticum L. (Myrtaceae). </w:t>
      </w:r>
      <w:r>
        <w:rPr>
          <w:rFonts w:ascii="Times New Roman" w:hAnsi="Times New Roman" w:eastAsia="Times New Roman"/>
          <w:i/>
          <w:color w:val="000000"/>
          <w:sz w:val="24"/>
        </w:rPr>
        <w:t>Frontiers in Nutrition</w:t>
      </w:r>
      <w:r>
        <w:rPr>
          <w:rFonts w:ascii="Times New Roman" w:hAnsi="Times New Roman" w:eastAsia="Times New Roman"/>
          <w:color w:val="000000"/>
          <w:sz w:val="24"/>
        </w:rPr>
        <w:t>, 9, 1002147. https://doi.org/10.3389/fnut.2022.1002147</w:t>
      </w:r>
    </w:p>
    <w:p>
      <w:pPr>
        <w:spacing w:line="360" w:lineRule="auto" w:after="0"/>
        <w:jc w:val="left"/>
      </w:pPr>
      <w:r>
        <w:rPr>
          <w:rFonts w:ascii="Times New Roman" w:hAnsi="Times New Roman" w:eastAsia="Times New Roman"/>
          <w:color w:val="000000"/>
          <w:sz w:val="24"/>
        </w:rPr>
        <w:t xml:space="preserve">Yamaguchi, G., &amp; Takenaga, M. (2022). Eugenol: A natural compound with multiple pharmacological actions. </w:t>
      </w:r>
      <w:r>
        <w:rPr>
          <w:rFonts w:ascii="Times New Roman" w:hAnsi="Times New Roman" w:eastAsia="Times New Roman"/>
          <w:i/>
          <w:color w:val="000000"/>
          <w:sz w:val="24"/>
        </w:rPr>
        <w:t>Yakugaku Zasshi</w:t>
      </w:r>
      <w:r>
        <w:rPr>
          <w:rFonts w:ascii="Times New Roman" w:hAnsi="Times New Roman" w:eastAsia="Times New Roman"/>
          <w:color w:val="000000"/>
          <w:sz w:val="24"/>
        </w:rPr>
        <w:t>, 142(5), 501–512. https://doi.org/10.1248/yakushi.21-00223</w:t>
      </w:r>
    </w:p>
    <w:p>
      <w:pPr>
        <w:spacing w:line="360" w:lineRule="auto" w:after="0"/>
        <w:jc w:val="left"/>
      </w:pPr>
      <w:r>
        <w:rPr>
          <w:rFonts w:ascii="Times New Roman" w:hAnsi="Times New Roman" w:eastAsia="Times New Roman"/>
          <w:color w:val="000000"/>
          <w:sz w:val="24"/>
        </w:rPr>
        <w:t xml:space="preserve">Yang, L., Cao, Z., &amp; Wu, Y. (2015). An in vivo mouse model of primary dysmenorrhea. </w:t>
      </w:r>
      <w:r>
        <w:rPr>
          <w:rFonts w:ascii="Times New Roman" w:hAnsi="Times New Roman" w:eastAsia="Times New Roman"/>
          <w:i/>
          <w:color w:val="000000"/>
          <w:sz w:val="24"/>
        </w:rPr>
        <w:t>Experimental Animals</w:t>
      </w:r>
      <w:r>
        <w:rPr>
          <w:rFonts w:ascii="Times New Roman" w:hAnsi="Times New Roman" w:eastAsia="Times New Roman"/>
          <w:color w:val="000000"/>
          <w:sz w:val="24"/>
        </w:rPr>
        <w:t>, 64(3), 295–303. https://doi.org/10.1538/expanim.14-0111</w:t>
      </w:r>
    </w:p>
    <w:p>
      <w:pPr>
        <w:spacing w:line="360" w:lineRule="auto" w:after="0"/>
        <w:jc w:val="left"/>
      </w:pPr>
      <w:r>
        <w:rPr>
          <w:rFonts w:ascii="Times New Roman" w:hAnsi="Times New Roman" w:eastAsia="Times New Roman"/>
          <w:color w:val="000000"/>
          <w:sz w:val="24"/>
        </w:rPr>
        <w:t xml:space="preserve">Yang, L., Chai, C. Z., Yue, X. Y., Yan, Y., Kou, J. P., Cao, Z. Y., &amp; Yu, B. Y. (2016). Ge-Gen Decoction attenuates oxytocin-induced uterine contraction and writhing response: Potential application in primary dysmenorrhea therapy. </w:t>
      </w:r>
      <w:r>
        <w:rPr>
          <w:rFonts w:ascii="Times New Roman" w:hAnsi="Times New Roman" w:eastAsia="Times New Roman"/>
          <w:i/>
          <w:color w:val="000000"/>
          <w:sz w:val="24"/>
        </w:rPr>
        <w:t>Chinese Journal of Natural Medicines</w:t>
      </w:r>
      <w:r>
        <w:rPr>
          <w:rFonts w:ascii="Times New Roman" w:hAnsi="Times New Roman" w:eastAsia="Times New Roman"/>
          <w:color w:val="000000"/>
          <w:sz w:val="24"/>
        </w:rPr>
        <w:t>, 14(2), 124–132. https://doi.org/10.1016/S1875-5364(16)60005-5</w:t>
      </w:r>
    </w:p>
    <w:p>
      <w:pPr>
        <w:spacing w:line="360" w:lineRule="auto" w:after="0"/>
        <w:jc w:val="left"/>
      </w:pPr>
      <w:r>
        <w:rPr>
          <w:rFonts w:ascii="Times New Roman" w:hAnsi="Times New Roman" w:eastAsia="Times New Roman"/>
          <w:color w:val="000000"/>
          <w:sz w:val="24"/>
        </w:rPr>
        <w:t xml:space="preserve">Yavuz, E., &amp; Bayram, B. (2021). Chemical composition of Syzygium aromaticum essential oil and antioxidant capacity. </w:t>
      </w:r>
      <w:r>
        <w:rPr>
          <w:rFonts w:ascii="Times New Roman" w:hAnsi="Times New Roman" w:eastAsia="Times New Roman"/>
          <w:i/>
          <w:color w:val="000000"/>
          <w:sz w:val="24"/>
        </w:rPr>
        <w:t>Journal of Essential Oil Bearing Plants</w:t>
      </w:r>
      <w:r>
        <w:rPr>
          <w:rFonts w:ascii="Times New Roman" w:hAnsi="Times New Roman" w:eastAsia="Times New Roman"/>
          <w:color w:val="000000"/>
          <w:sz w:val="24"/>
        </w:rPr>
        <w:t>, 24(3), 478–487.</w:t>
      </w:r>
    </w:p>
    <w:p>
      <w:pPr>
        <w:spacing w:line="360" w:lineRule="auto" w:after="0"/>
        <w:jc w:val="left"/>
      </w:pPr>
      <w:r>
        <w:rPr>
          <w:rFonts w:ascii="Times New Roman" w:hAnsi="Times New Roman" w:eastAsia="Times New Roman"/>
          <w:color w:val="000000"/>
          <w:sz w:val="24"/>
        </w:rPr>
        <w:t xml:space="preserve">Yeh, H. Y., &amp; Chang, C. H. (2020). Eugenol attenuates inflammatory response in lipopolysaccharide-activated macrophages. </w:t>
      </w:r>
      <w:r>
        <w:rPr>
          <w:rFonts w:ascii="Times New Roman" w:hAnsi="Times New Roman" w:eastAsia="Times New Roman"/>
          <w:i/>
          <w:color w:val="000000"/>
          <w:sz w:val="24"/>
        </w:rPr>
        <w:t>Journal of Medicinal Food</w:t>
      </w:r>
      <w:r>
        <w:rPr>
          <w:rFonts w:ascii="Times New Roman" w:hAnsi="Times New Roman" w:eastAsia="Times New Roman"/>
          <w:color w:val="000000"/>
          <w:sz w:val="24"/>
        </w:rPr>
        <w:t>, 23(10), 1063–1070. https://doi.org/10.1089/jmf.2020.4730</w:t>
      </w:r>
    </w:p>
    <w:p>
      <w:pPr>
        <w:spacing w:line="360" w:lineRule="auto" w:after="0"/>
        <w:jc w:val="left"/>
      </w:pPr>
      <w:r>
        <w:rPr>
          <w:rFonts w:ascii="Times New Roman" w:hAnsi="Times New Roman" w:eastAsia="Times New Roman"/>
          <w:color w:val="000000"/>
          <w:sz w:val="24"/>
        </w:rPr>
        <w:t xml:space="preserve">Yeh, J. L., Hsu, J. H., Hong, Y. S., Wu, J. R., Liang, J. C., Wu, B. N., Chen, I. J., &amp; Liou, S. F. (2011). Eugenolol and glyceryl-isoeugenol suppress LPS-induced iNOS expression by down-regulating NF-κB and AP-1 through inhibition of MAPKs and Akt/IκBα signaling pathways in macrophages. </w:t>
      </w:r>
      <w:r>
        <w:rPr>
          <w:rFonts w:ascii="Times New Roman" w:hAnsi="Times New Roman" w:eastAsia="Times New Roman"/>
          <w:i/>
          <w:color w:val="000000"/>
          <w:sz w:val="24"/>
        </w:rPr>
        <w:t>International Journal of Immunopathology and Pharmacology</w:t>
      </w:r>
      <w:r>
        <w:rPr>
          <w:rFonts w:ascii="Times New Roman" w:hAnsi="Times New Roman" w:eastAsia="Times New Roman"/>
          <w:color w:val="000000"/>
          <w:sz w:val="24"/>
        </w:rPr>
        <w:t>, 24(2), 345–356. https://doi.org/10.1177/039463201102400208</w:t>
      </w:r>
    </w:p>
    <w:p>
      <w:pPr>
        <w:spacing w:line="360" w:lineRule="auto" w:after="0"/>
        <w:jc w:val="left"/>
      </w:pPr>
      <w:r>
        <w:rPr>
          <w:rFonts w:ascii="Times New Roman" w:hAnsi="Times New Roman" w:eastAsia="Times New Roman"/>
          <w:color w:val="000000"/>
          <w:sz w:val="24"/>
        </w:rPr>
        <w:t xml:space="preserve">Ylikorkala, O., &amp; Dawood, M. Y. (1978). New concepts in dysmenorrhea. </w:t>
      </w:r>
      <w:r>
        <w:rPr>
          <w:rFonts w:ascii="Times New Roman" w:hAnsi="Times New Roman" w:eastAsia="Times New Roman"/>
          <w:i/>
          <w:color w:val="000000"/>
          <w:sz w:val="24"/>
        </w:rPr>
        <w:t>American Journal of Obstetrics and Gynecology</w:t>
      </w:r>
      <w:r>
        <w:rPr>
          <w:rFonts w:ascii="Times New Roman" w:hAnsi="Times New Roman" w:eastAsia="Times New Roman"/>
          <w:color w:val="000000"/>
          <w:sz w:val="24"/>
        </w:rPr>
        <w:t>, 130(7), 833–847. https://doi.org/10.1016/0002-9378(78)90019-4</w:t>
      </w:r>
    </w:p>
    <w:p>
      <w:pPr>
        <w:spacing w:line="360" w:lineRule="auto" w:after="0"/>
        <w:jc w:val="left"/>
      </w:pPr>
      <w:r>
        <w:rPr>
          <w:rFonts w:ascii="Times New Roman" w:hAnsi="Times New Roman" w:eastAsia="Times New Roman"/>
          <w:color w:val="000000"/>
          <w:sz w:val="24"/>
        </w:rPr>
        <w:t xml:space="preserve">Yogalakshmi, B., Viswanathan, P., &amp; Anuradha, C. V. (2010). Investigation of antioxidant, anti-inflammatory and DNA-protective properties of eugenol in thioacetamide-induced liver injury in rats. </w:t>
      </w:r>
      <w:r>
        <w:rPr>
          <w:rFonts w:ascii="Times New Roman" w:hAnsi="Times New Roman" w:eastAsia="Times New Roman"/>
          <w:i/>
          <w:color w:val="000000"/>
          <w:sz w:val="24"/>
        </w:rPr>
        <w:t>Toxicology</w:t>
      </w:r>
      <w:r>
        <w:rPr>
          <w:rFonts w:ascii="Times New Roman" w:hAnsi="Times New Roman" w:eastAsia="Times New Roman"/>
          <w:color w:val="000000"/>
          <w:sz w:val="24"/>
        </w:rPr>
        <w:t>, 268(3), 204–212. https://doi.org/10.1016/j.tox.2009.12.018</w:t>
      </w:r>
    </w:p>
    <w:p>
      <w:pPr>
        <w:spacing w:line="360" w:lineRule="auto" w:after="0"/>
        <w:jc w:val="left"/>
      </w:pPr>
      <w:r>
        <w:rPr>
          <w:rFonts w:ascii="Times New Roman" w:hAnsi="Times New Roman" w:eastAsia="Times New Roman"/>
          <w:color w:val="000000"/>
          <w:sz w:val="24"/>
        </w:rPr>
        <w:t xml:space="preserve">Zhang, C., &amp; Liang, J. (2022). Eugenol modifies uterine contractility and pain signaling: Potential for primary dysmenorrhea. </w:t>
      </w:r>
      <w:r>
        <w:rPr>
          <w:rFonts w:ascii="Times New Roman" w:hAnsi="Times New Roman" w:eastAsia="Times New Roman"/>
          <w:i/>
          <w:color w:val="000000"/>
          <w:sz w:val="24"/>
        </w:rPr>
        <w:t>Phytomedicine</w:t>
      </w:r>
      <w:r>
        <w:rPr>
          <w:rFonts w:ascii="Times New Roman" w:hAnsi="Times New Roman" w:eastAsia="Times New Roman"/>
          <w:color w:val="000000"/>
          <w:sz w:val="24"/>
        </w:rPr>
        <w:t>, 102, 154178. https://doi.org/10.1016/j.phymed.2022.154178</w:t>
      </w:r>
    </w:p>
    <w:p>
      <w:pPr>
        <w:spacing w:line="360" w:lineRule="auto" w:after="0"/>
        <w:jc w:val="left"/>
      </w:pPr>
      <w:r>
        <w:rPr>
          <w:rFonts w:ascii="Times New Roman" w:hAnsi="Times New Roman" w:eastAsia="Times New Roman"/>
          <w:color w:val="000000"/>
          <w:sz w:val="24"/>
        </w:rPr>
        <w:t xml:space="preserve">Zhang, J., &amp; Wang, Y. (2021). TRPV1 and pain modulation: Role of eugenol in dysmenorrhea. </w:t>
      </w:r>
      <w:r>
        <w:rPr>
          <w:rFonts w:ascii="Times New Roman" w:hAnsi="Times New Roman" w:eastAsia="Times New Roman"/>
          <w:i/>
          <w:color w:val="000000"/>
          <w:sz w:val="24"/>
        </w:rPr>
        <w:t>Journal of Pain Research</w:t>
      </w:r>
      <w:r>
        <w:rPr>
          <w:rFonts w:ascii="Times New Roman" w:hAnsi="Times New Roman" w:eastAsia="Times New Roman"/>
          <w:color w:val="000000"/>
          <w:sz w:val="24"/>
        </w:rPr>
        <w:t>, 14, 2167–2176. https://doi.org/10.2147/JPR.S318522</w:t>
      </w:r>
    </w:p>
    <w:p>
      <w:pPr>
        <w:spacing w:line="360" w:lineRule="auto" w:after="0"/>
        <w:jc w:val="left"/>
      </w:pPr>
      <w:r>
        <w:rPr>
          <w:rFonts w:ascii="Times New Roman" w:hAnsi="Times New Roman" w:eastAsia="Times New Roman"/>
          <w:color w:val="000000"/>
          <w:sz w:val="24"/>
        </w:rPr>
        <w:t xml:space="preserve">Zheng, G. Q., Kenney, P. M., &amp; Lam, L. K. (1992). Sesquiterpenes from clove (Eugenia caryophyllata) as potential anticarcinogenic agents. </w:t>
      </w:r>
      <w:r>
        <w:rPr>
          <w:rFonts w:ascii="Times New Roman" w:hAnsi="Times New Roman" w:eastAsia="Times New Roman"/>
          <w:i/>
          <w:color w:val="000000"/>
          <w:sz w:val="24"/>
        </w:rPr>
        <w:t>Journal of Natural Products</w:t>
      </w:r>
      <w:r>
        <w:rPr>
          <w:rFonts w:ascii="Times New Roman" w:hAnsi="Times New Roman" w:eastAsia="Times New Roman"/>
          <w:color w:val="000000"/>
          <w:sz w:val="24"/>
        </w:rPr>
        <w:t>, 55(7), 999–1003. https://doi.org/10.1021/np50085a029</w:t>
      </w:r>
    </w:p>
    <w:p>
      <w:pPr>
        <w:spacing w:line="360" w:lineRule="auto" w:after="0"/>
        <w:jc w:val="left"/>
      </w:pPr>
      <w:r>
        <w:rPr>
          <w:rFonts w:ascii="Times New Roman" w:hAnsi="Times New Roman" w:eastAsia="Times New Roman"/>
          <w:color w:val="000000"/>
          <w:sz w:val="24"/>
        </w:rPr>
        <w:t xml:space="preserve">Zhong, F., &amp; Li, G. (2022). The role of vasopressin and oxytocin in primary dysmenorrhea. </w:t>
      </w:r>
      <w:r>
        <w:rPr>
          <w:rFonts w:ascii="Times New Roman" w:hAnsi="Times New Roman" w:eastAsia="Times New Roman"/>
          <w:i/>
          <w:color w:val="000000"/>
          <w:sz w:val="24"/>
        </w:rPr>
        <w:t>Frontiers in Endocrinology</w:t>
      </w:r>
      <w:r>
        <w:rPr>
          <w:rFonts w:ascii="Times New Roman" w:hAnsi="Times New Roman" w:eastAsia="Times New Roman"/>
          <w:color w:val="000000"/>
          <w:sz w:val="24"/>
        </w:rPr>
        <w:t>, 13, 887142. https://doi.org/10.3389/fendo.2022.887142</w:t>
      </w:r>
    </w:p>
    <w:p>
      <w:pPr>
        <w:spacing w:line="360" w:lineRule="auto" w:after="0"/>
        <w:jc w:val="left"/>
      </w:pPr>
      <w:r>
        <w:rPr>
          <w:rFonts w:ascii="Times New Roman" w:hAnsi="Times New Roman" w:eastAsia="Times New Roman"/>
          <w:color w:val="000000"/>
          <w:sz w:val="24"/>
        </w:rPr>
        <w:t xml:space="preserve">Zhong, Y., Wang, H., &amp; Wang, Y. (2025). Effects of ethnic medicinal plant extracts versus nonsteroidal anti-inflammatory drugs on menstrual pain in women with primary dysmenorrhea: A systematic review and meta-analysis. </w:t>
      </w:r>
      <w:r>
        <w:rPr>
          <w:rFonts w:ascii="Times New Roman" w:hAnsi="Times New Roman" w:eastAsia="Times New Roman"/>
          <w:i/>
          <w:color w:val="000000"/>
          <w:sz w:val="24"/>
        </w:rPr>
        <w:t>Pain Management Nursing</w:t>
      </w:r>
      <w:r>
        <w:rPr>
          <w:rFonts w:ascii="Times New Roman" w:hAnsi="Times New Roman" w:eastAsia="Times New Roman"/>
          <w:color w:val="000000"/>
          <w:sz w:val="24"/>
        </w:rPr>
        <w:t>, 26(2), e98–e108. https://doi.org/10.1016/j.pmn.2025.02.001</w:t>
      </w:r>
    </w:p>
    <w:p>
      <w:pPr>
        <w:spacing w:line="360" w:lineRule="auto" w:after="0"/>
        <w:jc w:val="left"/>
      </w:pPr>
      <w:r>
        <w:rPr>
          <w:rFonts w:ascii="Times New Roman" w:hAnsi="Times New Roman" w:eastAsia="Times New Roman"/>
          <w:color w:val="000000"/>
          <w:sz w:val="24"/>
        </w:rPr>
        <w:t xml:space="preserve">da Silva, F. F., Monteiro, A. F., de Oliveira, L. A. S., &amp; Scotti, M. T. (2020). Computational analysis of eugenol inhibitory activity in lipoxygenase and cyclooxygenase pathways. </w:t>
      </w:r>
      <w:r>
        <w:rPr>
          <w:rFonts w:ascii="Times New Roman" w:hAnsi="Times New Roman" w:eastAsia="Times New Roman"/>
          <w:i/>
          <w:color w:val="000000"/>
          <w:sz w:val="24"/>
        </w:rPr>
        <w:t>Scientific Reports</w:t>
      </w:r>
      <w:r>
        <w:rPr>
          <w:rFonts w:ascii="Times New Roman" w:hAnsi="Times New Roman" w:eastAsia="Times New Roman"/>
          <w:color w:val="000000"/>
          <w:sz w:val="24"/>
        </w:rPr>
        <w:t>, 10, 16234. https://doi.org/10.1038/s41598-020-73295-9</w:t>
      </w:r>
    </w:p>
    <w:p>
      <w:pPr>
        <w:spacing w:line="360" w:lineRule="auto" w:after="0"/>
        <w:jc w:val="left"/>
      </w:pPr>
      <w:r>
        <w:rPr>
          <w:rFonts w:ascii="Times New Roman" w:hAnsi="Times New Roman" w:eastAsia="Times New Roman"/>
          <w:color w:val="000000"/>
          <w:sz w:val="24"/>
        </w:rPr>
        <w:t xml:space="preserve">de Carvalho, F. V., Ribeiro, P. R., &amp; Furlan, M. R. (2020). Eugenol and its role in chronic diseases. </w:t>
      </w:r>
      <w:r>
        <w:rPr>
          <w:rFonts w:ascii="Times New Roman" w:hAnsi="Times New Roman" w:eastAsia="Times New Roman"/>
          <w:i/>
          <w:color w:val="000000"/>
          <w:sz w:val="24"/>
        </w:rPr>
        <w:t>Advances in Experimental Medicine and Biology</w:t>
      </w:r>
      <w:r>
        <w:rPr>
          <w:rFonts w:ascii="Times New Roman" w:hAnsi="Times New Roman" w:eastAsia="Times New Roman"/>
          <w:color w:val="000000"/>
          <w:sz w:val="24"/>
        </w:rPr>
        <w:t>, 1260, 127–142. https://doi.org/10.1007/978-3-030-47483-6_7</w:t>
      </w:r>
    </w:p>
    <w:p>
      <w:pPr>
        <w:spacing w:line="360" w:lineRule="auto" w:after="0"/>
        <w:jc w:val="left"/>
      </w:pPr>
      <w:r>
        <w:rPr>
          <w:rFonts w:ascii="Times New Roman" w:hAnsi="Times New Roman" w:eastAsia="Times New Roman"/>
          <w:color w:val="000000"/>
          <w:sz w:val="24"/>
        </w:rPr>
        <w:t xml:space="preserve">de Cássia da Silveira e Sá, R., Andrade, L. N., &amp; de Sousa, D. P. (2019). A review on anti-inflammatory activity of monoterpenes. </w:t>
      </w:r>
      <w:r>
        <w:rPr>
          <w:rFonts w:ascii="Times New Roman" w:hAnsi="Times New Roman" w:eastAsia="Times New Roman"/>
          <w:i/>
          <w:color w:val="000000"/>
          <w:sz w:val="24"/>
        </w:rPr>
        <w:t>Molecules</w:t>
      </w:r>
      <w:r>
        <w:rPr>
          <w:rFonts w:ascii="Times New Roman" w:hAnsi="Times New Roman" w:eastAsia="Times New Roman"/>
          <w:color w:val="000000"/>
          <w:sz w:val="24"/>
        </w:rPr>
        <w:t>, 24(9), 1675. https://doi.org/10.3390/molecules24091675</w:t>
      </w:r>
    </w:p>
    <w:p>
      <w:pPr>
        <w:spacing w:line="360" w:lineRule="auto" w:after="0"/>
        <w:jc w:val="left"/>
      </w:pPr>
      <w:r>
        <w:rPr>
          <w:rFonts w:ascii="Times New Roman" w:hAnsi="Times New Roman" w:eastAsia="Times New Roman"/>
          <w:color w:val="000000"/>
          <w:sz w:val="24"/>
        </w:rPr>
        <w:t xml:space="preserve">de Oliveira, J. D., Camargo, L. E. A., &amp; Bicas, J. L. (2018). An overview on the anti-inflammatory potential and antioxidant profile of eugenol. </w:t>
      </w:r>
      <w:r>
        <w:rPr>
          <w:rFonts w:ascii="Times New Roman" w:hAnsi="Times New Roman" w:eastAsia="Times New Roman"/>
          <w:i/>
          <w:color w:val="000000"/>
          <w:sz w:val="24"/>
        </w:rPr>
        <w:t>Oxidative Medicine and Cellular Longevity</w:t>
      </w:r>
      <w:r>
        <w:rPr>
          <w:rFonts w:ascii="Times New Roman" w:hAnsi="Times New Roman" w:eastAsia="Times New Roman"/>
          <w:color w:val="000000"/>
          <w:sz w:val="24"/>
        </w:rPr>
        <w:t>, 2018, 3957262. https://doi.org/10.1155/2018/3957262</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