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CHAPTER ONE</w:t>
      </w:r>
    </w:p>
    <w:p>
      <w:pPr>
        <w:pStyle w:val="Heading1"/>
        <w:jc w:val="center"/>
      </w:pPr>
      <w:r>
        <w:rPr>
          <w:rFonts w:ascii="Times New Roman" w:hAnsi="Times New Roman" w:eastAsia="Times New Roman"/>
          <w:color w:val="000000"/>
          <w:sz w:val="28"/>
        </w:rPr>
        <w:t>LITERATURE REVIEW</w:t>
      </w:r>
    </w:p>
    <w:p>
      <w:pPr>
        <w:pStyle w:val="Heading2"/>
        <w:jc w:val="both"/>
      </w:pPr>
      <w:r>
        <w:rPr>
          <w:rFonts w:ascii="Times New Roman" w:hAnsi="Times New Roman" w:eastAsia="Times New Roman"/>
          <w:color w:val="000000"/>
          <w:sz w:val="24"/>
        </w:rPr>
        <w:t>1.1 Human Female Reproductive System</w:t>
      </w:r>
    </w:p>
    <w:p>
      <w:pPr>
        <w:spacing w:line="360" w:lineRule="auto" w:after="0"/>
        <w:jc w:val="both"/>
      </w:pPr>
      <w:r>
        <w:rPr>
          <w:rFonts w:ascii="Times New Roman" w:hAnsi="Times New Roman" w:eastAsia="Times New Roman"/>
          <w:color w:val="000000"/>
          <w:sz w:val="24"/>
        </w:rPr>
        <w:t>The human female reproductive system is a complex and highly specialized network of internal and external organs fundamentally designed to facilitate reproduction, support embryonic development, and sustain hormonal equilibrium. The internal reproductive organs, situated within the true pelvic cavity, include the vagina, uterus, fallopian tubes, and ovaries. The vagina serves as a fibromuscular canal connecting the external genitalia to the cervix of the uterus, acting as the receptacle for sperm during copulation and the birth canal during parturition. Superior to the vagina lies the uterus, a robust, hollow, pear-shaped muscular organ that plays a central role in menstruation, implantation, and gestation. Extending laterally from the superior angles of the uterus are the fallopian tubes, also known as uterine tubes or oviducts. These tubular structures facilitate the transport of the ovum from the ovary to the uterine cavity and serve as the primary physiological site for fertilization. The ovaries, paired almond-shaped gonads located adjacent to the lateral pelvic walls, are responsible for oogenesis—the production and maturation of ova—and the synthesis of crucial steroid hormones, primarily estrogen and progesterone, which govern the cyclical changes of the reproductive tract and maintain early pregnancy (Tortora &amp; Derrickson, 2017).</w:t>
      </w:r>
    </w:p>
    <w:p>
      <w:pPr>
        <w:spacing w:line="360" w:lineRule="auto" w:after="0"/>
        <w:jc w:val="both"/>
      </w:pPr>
      <w:r>
        <w:rPr>
          <w:rFonts w:ascii="Times New Roman" w:hAnsi="Times New Roman" w:eastAsia="Times New Roman"/>
          <w:color w:val="000000"/>
          <w:sz w:val="24"/>
        </w:rPr>
        <w:t>The functional integrity of this system is heavily reliant on the hypothalamic-pituitary-ovarian (HPO) axis, a highly regulated neuroendocrine feedback loop. The hypothalamus pulsatilely secretes gonadotropin-releasing hormone (GnRH), which in turn stimulates the anterior pituitary gland to release follicle-stimulating hormone (FSH) and luteinizing hormone (LH). These gonadotropins exert direct effects on the ovarian tissues, orchestrating follicular development, ovulation, and the subsequent formation of the corpus luteum. The ovarian steroid hormones then act on the uterine endometrium, preparing it for potential embryonic implantation, while simultaneously providing negative or positive feedback to the hypothalamus and pituitary to modulate further gonadotropin release. Any disruption or dysregulation within this neuroendocrine axis, or structural pathology within the reproductive organs themselves, can lead to significant gynecological and reproductive disorders, including dysmenorrhea, infertility, and abnormal uterine bleeding (Hall, 2015).</w:t>
      </w:r>
    </w:p>
    <w:p>
      <w:pPr>
        <w:pStyle w:val="Heading2"/>
        <w:jc w:val="both"/>
      </w:pPr>
      <w:r>
        <w:rPr>
          <w:rFonts w:ascii="Times New Roman" w:hAnsi="Times New Roman" w:eastAsia="Times New Roman"/>
          <w:color w:val="000000"/>
          <w:sz w:val="24"/>
        </w:rPr>
        <w:t>1.2 The Human Uterus</w:t>
      </w:r>
    </w:p>
    <w:p>
      <w:pPr>
        <w:spacing w:line="360" w:lineRule="auto" w:after="0"/>
        <w:jc w:val="both"/>
      </w:pPr>
      <w:r>
        <w:rPr>
          <w:rFonts w:ascii="Times New Roman" w:hAnsi="Times New Roman" w:eastAsia="Times New Roman"/>
          <w:color w:val="000000"/>
          <w:sz w:val="24"/>
        </w:rPr>
        <w:t>The human uterus is a thick-walled, highly muscular organ situated anatomically between the urinary bladder anteriorly and the rectum posteriorly. It is structurally divided into three distinct anatomical regions: the fundus (the dome-shaped superior portion above the entry points of the fallopian tubes), the body or corpus (the central, major tapering portion), and the cervix (the inferior, narrow cylindrical segment that protrudes into the superior aspect of the vaginal canal). The uterine wall itself is composed of three histologically distinct layers. The outermost layer is the perimetrium, a thin serous membrane derived from the visceral peritoneum that provides a frictionless surface for the organ within the pelvic cavity. The middle layer, the myometrium, forms the bulk of the uterine wall and consists of three interwoven layers of smooth muscle fibers. These fibers are arranged longitudinally, circularly, and obliquely, an architectural design that generates the powerful, coordinated, and multidirectional contractions required to expel the fetus during labor and to shed the endometrial lining during menstruation. The innermost layer is the endometrium, a highly vascularized mucosal lining that is further subdivided into a superficial stratum functionalis and a deeper stratum basalis. The stratum functionalis undergoes dramatic cyclical proliferation, secretion, and subsequent necrosis and sloughing during the menstrual cycle in response to fluctuating ovarian hormones. Conversely, the stratum basalis remains intact during menstruation and serves as the regenerative source for the new functional layer in subsequent cycles. The physiological capability of the uterus to expand massively during gestation and contract forcefully during parturition and menstruation underscores its essential role in reproductive biology, while hypersensitivity or dysrhythmia of the myometrium serves as the primary pathophysiological driver of dysmenorrhea (Cunningham et al., 2018).</w:t>
      </w:r>
    </w:p>
    <w:p>
      <w:pPr>
        <w:pStyle w:val="Heading2"/>
        <w:jc w:val="both"/>
      </w:pPr>
      <w:r>
        <w:rPr>
          <w:rFonts w:ascii="Times New Roman" w:hAnsi="Times New Roman" w:eastAsia="Times New Roman"/>
          <w:color w:val="000000"/>
          <w:sz w:val="24"/>
        </w:rPr>
        <w:t>1.3 The Ovarian and Endometrial Cycle</w:t>
      </w:r>
    </w:p>
    <w:p>
      <w:pPr>
        <w:spacing w:line="360" w:lineRule="auto" w:after="0"/>
        <w:jc w:val="both"/>
      </w:pPr>
      <w:r>
        <w:rPr>
          <w:rFonts w:ascii="Times New Roman" w:hAnsi="Times New Roman" w:eastAsia="Times New Roman"/>
          <w:color w:val="000000"/>
          <w:sz w:val="24"/>
        </w:rPr>
        <w:t>The female reproductive cycle encompasses concurrent, hormonally synchronized changes in both the ovaries (the ovarian cycle) and the uterine lining (the endometrial cycle), typically spanning an average of 28 days. The ovarian cycle is characterized by three distinct phases: the follicular phase, ovulation, and the luteal phase. Driven by follicle-stimulating hormone (FSH) from the anterior pituitary, the follicular phase involves the maturation of a cohort of ovarian follicles, one of which will become the dominant graafian follicle. This maturing follicle secretes increasing amounts of estrogen. A sharp surge in luteinizing hormone (LH), triggered by the peak estrogen levels, induces ovulation—the rupture of the mature follicle and the release of the secondary oocyte. Following ovulation, the remnants of the ruptured follicle reorganize into the corpus luteum, initiating the luteal phase. The corpus luteum secretes copious amounts of progesterone and estrogen, which are essential for maintaining the uterine lining in a state receptive to implantation. If fertilization does not occur, the corpus luteum inevitably degenerates into the corpus albicans, leading to a precipitous drop in circulating progesterone and estrogen levels (Guyton &amp; Hall, 2011).</w:t>
      </w:r>
    </w:p>
    <w:p>
      <w:pPr>
        <w:spacing w:line="360" w:lineRule="auto" w:after="0"/>
        <w:jc w:val="both"/>
      </w:pPr>
      <w:r>
        <w:rPr>
          <w:rFonts w:ascii="Times New Roman" w:hAnsi="Times New Roman" w:eastAsia="Times New Roman"/>
          <w:color w:val="000000"/>
          <w:sz w:val="24"/>
        </w:rPr>
        <w:t>Synchronized with these ovarian events, the endometrial cycle progresses through the menstrual, proliferative, and secretory phases. The proliferative phase occurs concomitantly with the ovarian follicular phase, during which rising estrogen levels stimulate the rapid regeneration and thickening of the stratum functionalis of the endometrium. Following ovulation, the cycle enters the secretory phase, governed primarily by progesterone from the corpus luteum. Progesterone induces the endometrial glands to secrete glycogen-rich fluids and promotes extensive vascularization, optimizing the environment for embryonic implantation. When pregnancy fails to occur, the withdrawal of estrogen and progesterone initiates the menstrual phase. This sudden hormonal deprivation triggers the localized synthesis and release of prostaglandins, notably prostaglandin F2-alpha (PGF2α), from the degenerating endometrial cells. These prostaglandins induce intense vasospasm of the spiral arterioles, leading to profound ischemia, necrosis, and the eventual sloughing of the stratum functionalis, which clinically manifests as menstrual bleeding. The cyclic production of these inflammatory mediators and the resulting myometrial contractions are central to the etiology of primary dysmenorrhea (Dawood, 2006).</w:t>
      </w:r>
    </w:p>
    <w:p>
      <w:pPr>
        <w:pStyle w:val="Heading2"/>
        <w:jc w:val="both"/>
      </w:pPr>
      <w:r>
        <w:rPr>
          <w:rFonts w:ascii="Times New Roman" w:hAnsi="Times New Roman" w:eastAsia="Times New Roman"/>
          <w:color w:val="000000"/>
          <w:sz w:val="24"/>
        </w:rPr>
        <w:t>1.4 The Mouse Uterus</w:t>
      </w:r>
    </w:p>
    <w:p>
      <w:pPr>
        <w:spacing w:line="360" w:lineRule="auto" w:after="0"/>
        <w:jc w:val="both"/>
      </w:pPr>
      <w:r>
        <w:rPr>
          <w:rFonts w:ascii="Times New Roman" w:hAnsi="Times New Roman" w:eastAsia="Times New Roman"/>
          <w:color w:val="000000"/>
          <w:sz w:val="24"/>
        </w:rPr>
        <w:t>The mouse uterus, widely utilized as an experimental model in reproductive pharmacology and toxicology, exhibits significant anatomical and physiological differences from the human uterus, while sharing fundamental histological characteristics. Unlike the simplex uterus of humans, the mouse possesses a bicornuate (duplex) uterus, consisting of two distinct, elongated uterine horns that converge inferiorly at a single cervix opening into the vagina. This structural adaptation facilitates multifetal pregnancies typical of the species. Despite this gross anatomical divergence, the histological architecture of the murine uterine wall closely mirrors that of the human. It comprises an outer serosal perimetrium, a thick middle myometrium, and an inner mucosal endometrium. The murine myometrium is distinctly organized into an outer longitudinal smooth muscle layer and an inner circular smooth muscle layer, separated by a highly vascularized connective tissue band. This muscular arrangement allows for the robust, rhythmic, and coordinated contractions necessary for pup delivery. The structural parallels in myometrial anatomy and the functional similarities in excitation-contraction coupling mechanisms make the isolated mouse uterus a highly reliable and extensively validated ex vivo model for evaluating the uterotonic (contractile) or tocolytic (relaxant) properties of pharmacological agents and medicinal plant extracts, including those investigated for antidysmenorrhea efficacy (Vogel, 2008).</w:t>
      </w:r>
    </w:p>
    <w:p>
      <w:pPr>
        <w:pStyle w:val="Heading2"/>
        <w:jc w:val="both"/>
      </w:pPr>
      <w:r>
        <w:rPr>
          <w:rFonts w:ascii="Times New Roman" w:hAnsi="Times New Roman" w:eastAsia="Times New Roman"/>
          <w:color w:val="000000"/>
          <w:sz w:val="24"/>
        </w:rPr>
        <w:t>1.5 The Female Mice Reproductive Cycle</w:t>
      </w:r>
    </w:p>
    <w:p>
      <w:pPr>
        <w:spacing w:line="360" w:lineRule="auto" w:after="0"/>
        <w:jc w:val="both"/>
      </w:pPr>
      <w:r>
        <w:rPr>
          <w:rFonts w:ascii="Times New Roman" w:hAnsi="Times New Roman" w:eastAsia="Times New Roman"/>
          <w:color w:val="000000"/>
          <w:sz w:val="24"/>
        </w:rPr>
        <w:t>The reproductive cycle of the female mouse, termed the estrous cycle, is a rapid and continuous polyestrous process typically lasting between 4 to 5 days, contrasting sharply with the 28-day human menstrual cycle. The murine estrous cycle is conventionally divided into four distinct stages: proestrus, estrus, metestrus, and diestrus. These stages are governed by the cyclical secretion of gonadotropins and ovarian steroids and can be accurately identified through the cytological examination of vaginal smears. Proestrus is the pre-ovulatory phase characterized by peak systemic levels of estrogen, which induce rapid cellular proliferation within the reproductive tract. During this phase, the vaginal smear predominantly consists of nucleated epithelial cells. Estrus, the phase of sexual receptivity (heat) and ovulation, immediately follows. Estrogen levels begin to decline while progesterone levels surge, leading to the cornification of the vaginal epithelium; hence, the smear exhibits predominantly anucleated, cornified epithelial cells. Metestrus represents the early post-ovulatory period where the corpus luteum begins its formation, characterized by a mixed population of cornified epithelial cells and a massive influx of leukocytes. Finally, diestrus is the longest phase of the cycle, representing the luteal phase where progesterone levels peak. If the mouse does not mate or fails to conceive, the corpus luteum rapidly regresses, and the vaginal smear shows a predominance of leukocytes with sparse nucleated epithelial cells, preparing the cycle to restart (Byers et al., 2012). The continuous and predictable nature of the murine estrous cycle, combined with the profound influence of cyclic hormonal fluctuations on myometrial sensitivity to exogenous contractile and relaxant agents, makes the female mouse an indispensable model for investigating the pharmacological effects of novel therapies on uterine physiology.</w:t>
      </w:r>
    </w:p>
    <w:p>
      <w:pPr>
        <w:pStyle w:val="Heading2"/>
        <w:jc w:val="both"/>
      </w:pPr>
      <w:r>
        <w:rPr>
          <w:rFonts w:ascii="Times New Roman" w:hAnsi="Times New Roman" w:eastAsia="Times New Roman"/>
          <w:color w:val="000000"/>
          <w:sz w:val="24"/>
        </w:rPr>
        <w:t>1.6 Dysmenorrhea and Uterine Contractility</w:t>
      </w:r>
    </w:p>
    <w:p>
      <w:pPr>
        <w:spacing w:line="360" w:lineRule="auto" w:after="0"/>
        <w:jc w:val="both"/>
      </w:pPr>
      <w:r>
        <w:rPr>
          <w:rFonts w:ascii="Times New Roman" w:hAnsi="Times New Roman" w:eastAsia="Times New Roman"/>
          <w:color w:val="000000"/>
          <w:sz w:val="24"/>
        </w:rPr>
        <w:t xml:space="preserve">Dysmenorrhea, originating from the Greek words </w:t>
      </w:r>
      <w:r>
        <w:rPr>
          <w:rFonts w:ascii="Times New Roman" w:hAnsi="Times New Roman" w:eastAsia="Times New Roman"/>
          <w:i/>
          <w:color w:val="000000"/>
          <w:sz w:val="24"/>
        </w:rPr>
        <w:t>dys</w:t>
      </w:r>
      <w:r>
        <w:rPr>
          <w:rFonts w:ascii="Times New Roman" w:hAnsi="Times New Roman" w:eastAsia="Times New Roman"/>
          <w:color w:val="000000"/>
          <w:sz w:val="24"/>
        </w:rPr>
        <w:t xml:space="preserve"> (difficult/painful), </w:t>
      </w:r>
      <w:r>
        <w:rPr>
          <w:rFonts w:ascii="Times New Roman" w:hAnsi="Times New Roman" w:eastAsia="Times New Roman"/>
          <w:i/>
          <w:color w:val="000000"/>
          <w:sz w:val="24"/>
        </w:rPr>
        <w:t>meno</w:t>
      </w:r>
      <w:r>
        <w:rPr>
          <w:rFonts w:ascii="Times New Roman" w:hAnsi="Times New Roman" w:eastAsia="Times New Roman"/>
          <w:color w:val="000000"/>
          <w:sz w:val="24"/>
        </w:rPr>
        <w:t xml:space="preserve"> (month), and </w:t>
      </w:r>
      <w:r>
        <w:rPr>
          <w:rFonts w:ascii="Times New Roman" w:hAnsi="Times New Roman" w:eastAsia="Times New Roman"/>
          <w:i/>
          <w:color w:val="000000"/>
          <w:sz w:val="24"/>
        </w:rPr>
        <w:t>rrhea</w:t>
      </w:r>
      <w:r>
        <w:rPr>
          <w:rFonts w:ascii="Times New Roman" w:hAnsi="Times New Roman" w:eastAsia="Times New Roman"/>
          <w:color w:val="000000"/>
          <w:sz w:val="24"/>
        </w:rPr>
        <w:t xml:space="preserve"> (flow), is clinically defined as painful menstrual cramps of uterine origin. It represents one of the most prevalent and functionally debilitating gynecological disorders among women of reproductive age worldwide. Clinicians broadly classify this condition into primary dysmenorrhea, which involves severe pelvic pain without any identifiable pathological condition, and secondary dysmenorrhea, which describes pain directly attributable to underlying structural pelvic diseases such as endometriosis or uterine fibroids (Ferries-Rowe et al., 2020). Epidemiologically, primary dysmenorrhea affects between 45% and 95% of menstruating women, with up to 20% reporting pain so severe that it routinely results in absenteeism from school or work, leading to substantial economic and psychological burdens (Ju et al., 2014). The fundamental pathophysiology of primary dysmenorrhea is deeply rooted in hypercontractility of the myometrium, driven primarily by the overproduction of prostaglandins, specifically prostaglandin F2-alpha (PGF2α) and prostaglandin E2 (PGE2), within the sloughing endometrium. During menstruation, the withdrawal of progesterone triggers the release of lysosomal enzymes, which cleave arachidonic acid from cell membrane phospholipids. This arachidonic acid is rapidly metabolized by the cyclooxygenase (COX) enzyme system into inflammatory prostaglandins. High concentrations of PGF2α induce potent, dysrhythmic, and sustained myometrial contractions, driving intrauterine pressures above 400 mmHg and reducing the resting interval between contractions. This extreme basal tone and hypercontractility compress the spiral arterioles supplying the myometrium, causing profound focal ischemia and hypoxia. The accumulation of anaerobic metabolites, such as lactic acid, alongside the direct sensitization of afferent pain nerve terminals by PGE2, ultimately culminates in the severe, cramping pelvic pain characteristic of the disorder. Consequently, therapeutic strategies largely focus on mitigating this prostaglandin-induced uterine hypercontractility (Iacovides et al., 2015).</w:t>
      </w:r>
    </w:p>
    <w:p>
      <w:pPr>
        <w:pStyle w:val="Heading2"/>
        <w:jc w:val="both"/>
      </w:pPr>
      <w:r>
        <w:rPr>
          <w:rFonts w:ascii="Times New Roman" w:hAnsi="Times New Roman" w:eastAsia="Times New Roman"/>
          <w:color w:val="000000"/>
          <w:sz w:val="24"/>
        </w:rPr>
        <w:t>1.7 Drugs Implicated in the Management of Dysmenorrhea</w:t>
      </w:r>
    </w:p>
    <w:p>
      <w:pPr>
        <w:spacing w:line="360" w:lineRule="auto" w:after="0"/>
        <w:jc w:val="both"/>
      </w:pPr>
      <w:r>
        <w:rPr>
          <w:rFonts w:ascii="Times New Roman" w:hAnsi="Times New Roman" w:eastAsia="Times New Roman"/>
          <w:color w:val="000000"/>
          <w:sz w:val="24"/>
        </w:rPr>
        <w:t>The current pharmacological management of primary dysmenorrhea is predominantly anchored in targeting the underlying prostaglandin-mediated hypercontractility and restoring normal myometrial tone. Non-steroidal anti-inflammatory drugs (NSAIDs) serve as the established first-line pharmacotherapy. Agents such as ibuprofen, naproxen, and mefenamic acid exert their therapeutic effects by competitively inhibiting the cyclooxygenase (COX) enzymes—specifically COX-1 and COX-2—thereby halting the conversion of arachidonic acid into the hyperalgesic and spasmogenic prostaglandins (PGF2α and PGE2). By significantly reducing intrauterine prostaglandin concentrations, NSAIDs effectively decrease myometrial resting tone, alleviate uterine ischemia, and provide substantial pain relief for the majority of patients (Marjoribanks et al., 2015). For women who do not achieve adequate relief with NSAIDs, or who require simultaneous contraception, combined oral contraceptives (COCs) represent the primary alternative. COCs, comprising synthetic estrogens and progestins, function by suppressing the hypothalamic-pituitary-ovarian axis, thereby inhibiting ovulation and profoundly thinning the endometrial lining. A thinner endometrium contains significantly lower levels of arachidonic acid, which directly translates to reduced prostaglandin synthesis during menstruation and subsequent alleviation of uterine cramps (Wong et al., 2009). Despite their widespread use and general efficacy, these conventional therapies are hindered by significant limitations and adverse effect profiles. Chronic use of NSAIDs is frequently associated with severe gastrointestinal toxicities, including gastritis and peptic ulcer disease, as well as potential renal impairment and cardiovascular risks due to the systemic inhibition of protective prostaglandins. Similarly, COCs carry risks of venous thromboembolism, weight gain, mood fluctuations, and are contraindicated in women with specific cardiovascular or hepatic morbidities. Furthermore, a clinically significant subset of patients—approximately 10% to 20%—exhibit absolute refractoriness to both NSAIDs and hormonal therapies, leaving them with inadequate pain control and highlighting a critical unmet medical need for novel, safer, and highly efficacious therapeutic alternatives, particularly those derived from natural sources with inherent tocolytic properties (Grandi et al., 2012).</w:t>
      </w:r>
    </w:p>
    <w:p>
      <w:pPr>
        <w:pStyle w:val="Heading2"/>
        <w:jc w:val="both"/>
      </w:pPr>
      <w:r>
        <w:rPr>
          <w:rFonts w:ascii="Times New Roman" w:hAnsi="Times New Roman" w:eastAsia="Times New Roman"/>
          <w:color w:val="000000"/>
          <w:sz w:val="24"/>
        </w:rPr>
        <w:t>1.8 Herbal Medicines</w:t>
      </w:r>
    </w:p>
    <w:p>
      <w:pPr>
        <w:spacing w:line="360" w:lineRule="auto" w:after="0"/>
        <w:jc w:val="both"/>
      </w:pPr>
      <w:r>
        <w:rPr>
          <w:rFonts w:ascii="Times New Roman" w:hAnsi="Times New Roman" w:eastAsia="Times New Roman"/>
          <w:color w:val="000000"/>
          <w:sz w:val="24"/>
        </w:rPr>
        <w:t>Given the limitations, contraindications, and adverse effects associated with conventional pharmacological treatments for dysmenorrhea, there is a substantial and growing global interest in the therapeutic potential of herbal medicines. For centuries, diverse indigenous medical systems across the globe have utilized various plant species to manage gynecological disorders, including menstrual cramps, based on empirical evidence of their efficacy and safety. Phytochemical investigations into these traditional remedies have increasingly validated their use, revealing complex matrices of bioactive compounds—such as flavonoids, alkaloids, terpenoids, and phenolic acids—that possess potent analgesic, anti-inflammatory, and antispasmodic (tocolytic) properties. Unlike single-molecule synthetic drugs, crude herbal extracts often exert their pharmacological effects through synergistic multi-target mechanisms. For instance, some plant extracts can simultaneously inhibit cyclooxygenase and lipoxygenase pathways to reduce inflammatory mediators, directly block voltage-gated calcium channels to prevent myometrial smooth muscle contraction, and enhance local antioxidant defenses. This multi-faceted mechanism of action often results in comparable efficacy to NSAIDs but with a significantly more favorable side-effect profile, particularly regarding gastrointestinal and renal tolerability. The World Health Organization (WHO) actively supports the integration of scientifically validated traditional medicines into national healthcare systems, emphasizing the need for rigorous, evidence-based evaluation of these botanicals. Consequently, contemporary pharmacological research is deeply focused on systematically screening, standardizing, and mechanistically evaluating traditional medicinal plants, such as Syzygium aromaticum, to develop them into safe, accessible, and scientifically robust therapeutic alternatives for the management of primary dysmenorrhea and associated uterine hypercontractility (Pellow &amp; Nienhuis, 2018).</w:t>
      </w:r>
    </w:p>
    <w:p>
      <w:pPr>
        <w:pStyle w:val="Heading2"/>
        <w:jc w:val="both"/>
      </w:pPr>
      <w:r>
        <w:rPr>
          <w:rFonts w:ascii="Times New Roman" w:hAnsi="Times New Roman" w:eastAsia="Times New Roman"/>
          <w:color w:val="000000"/>
          <w:sz w:val="24"/>
        </w:rPr>
        <w:t>1.9 Taxonomic Classification and Overview of Syzygium aromaticum</w:t>
      </w:r>
    </w:p>
    <w:p>
      <w:pPr>
        <w:spacing w:line="360" w:lineRule="auto" w:after="0"/>
        <w:jc w:val="both"/>
      </w:pP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(L.) Merr. &amp; Perry, commonly known as clove, is a valuable medicinal and culinary plant belonging to the family Myrtaceae. Taxonomically, it is classified under the kingdom Plantae, phylum Tracheophyta, class Magnoliopsida, order Myrtales, family Myrtaceae, genus Syzygium, and species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Native to the Maluku Islands in Indonesia, clove is an evergreen tree that grows up to 10–20 meters in height, characterized by large, smooth, ovate leaves and crimson flowers grouped in terminal clusters. The most commercially and medicinally important part of the plant is the dried, unopened flower bud, which is harvested before the petals unfurl. Historically and ethnopharmacologically, clove has been utilized across Ayurvedic, traditional Chinese, and indigenous African medical systems to treat a vast array of ailments, including dental caries, digestive disorders, respiratory infections, and severe inflammatory conditions. The profound therapeutic efficacy of clove is attributed to its exceptionally rich phytochemical profile. The essential oil extracted from the buds is predominantly composed of eugenol (constituting 70–90% of the oil), alongside other significant volatile compounds such as eugenyl acetate and β-caryophyllene. Eugenol is a potent bioactive phenylpropene that has been extensively documented to possess robust antioxidant, antimicrobial, analgesic, anti-inflammatory, and antispasmodic properties. It exerts its anti-inflammatory effects by potently inhibiting the cyclooxygenase and lipoxygenase pathways, thereby drastically reducing the synthesis of pro-inflammatory prostaglandins and leukotrienes. Additionally, eugenol has been shown to block voltage-dependent calcium and sodium channels in smooth muscle, directly impairing excitation-contraction coupling. These inherent pharmacological mechanisms strongly suggest that extracts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could exert significant tocolytic effects on the myometrium, presenting a highly plausible, natural therapeutic intervention for the hypercontractility and pain associated with primary dysmenorrhea (Batiha et al., 2020).</w:t>
      </w:r>
    </w:p>
    <w:p>
      <w:pPr>
        <w:pStyle w:val="Heading2"/>
        <w:jc w:val="both"/>
      </w:pPr>
      <w:r>
        <w:rPr>
          <w:rFonts w:ascii="Times New Roman" w:hAnsi="Times New Roman" w:eastAsia="Times New Roman"/>
          <w:color w:val="000000"/>
          <w:sz w:val="24"/>
        </w:rPr>
        <w:t>1.10 Acute Oral Toxicity</w:t>
      </w:r>
    </w:p>
    <w:p>
      <w:pPr>
        <w:spacing w:line="360" w:lineRule="auto" w:after="0"/>
        <w:jc w:val="both"/>
      </w:pPr>
      <w:r>
        <w:rPr>
          <w:rFonts w:ascii="Times New Roman" w:hAnsi="Times New Roman" w:eastAsia="Times New Roman"/>
          <w:color w:val="000000"/>
          <w:sz w:val="24"/>
        </w:rPr>
        <w:t xml:space="preserve">Despite the widespread ethnomedicinal use and Generally Recognized As Safe (GRAS) status of clove as a food flavoring agent, the rigorous scientific evaluation of its safety profile—particularly when administered as concentrated hydroalcoholic extracts at therapeutic or supratherapeutic doses—is an absolute prerequisite for its development as a pharmacological intervention. Acute oral toxicity testing is the fundamental toxicological assessment designed to determine the adverse effects occurring within a short time following the oral administration of a single dose or multiple doses given within 24 hours. The Organization for Economic Co-operation and Development (OECD) Guidelines for the Testing of Chemicals, specifically Guideline 423 (Acute Oral Toxicity - Acute Toxic Class Method), provides the internationally accepted standard protocol for this evaluation. This stepwise procedure uses minimal numbers of female rodents, administering sequentially higher predetermined dose levels (e.g., 5, 50, 300, and 2000 mg/kg) to precisely classify the substance's toxicity hazard category and estimate the median lethal dose (LD50). During the 14-day observation period following administration, animals are meticulously monitored for any signs of overt toxicity, including alterations in behavior, autonomic nervous system responses, somatomotor activity, morbidity, and mortality. While eugenol, the primary constituent of clove, exhibits potent therapeutic activities, high concentrations can potentially induce hepatotoxicity, neurotoxicity, and severe gastrointestinal mucosal irritation. Therefore, conducting a comprehensive acute oral toxicity study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hydroalcoholic extract is critically essential to establish its safety margin, definitively rule out acute systemic toxicity at projected therapeutic dosages, and confidently justify its potential advancement to clinical trials for the management of dysmenorrhea (OECD, 2001).</w:t>
      </w:r>
    </w:p>
    <w:p>
      <w:pPr>
        <w:pStyle w:val="Heading2"/>
        <w:jc w:val="both"/>
      </w:pPr>
      <w:r>
        <w:rPr>
          <w:rFonts w:ascii="Times New Roman" w:hAnsi="Times New Roman" w:eastAsia="Times New Roman"/>
          <w:color w:val="000000"/>
          <w:sz w:val="24"/>
        </w:rPr>
        <w:t>1.11 Rationale of the Study</w:t>
      </w:r>
    </w:p>
    <w:p>
      <w:pPr>
        <w:spacing w:line="360" w:lineRule="auto" w:after="0"/>
        <w:jc w:val="both"/>
      </w:pPr>
      <w:r>
        <w:rPr>
          <w:rFonts w:ascii="Times New Roman" w:hAnsi="Times New Roman" w:eastAsia="Times New Roman"/>
          <w:color w:val="000000"/>
          <w:sz w:val="24"/>
        </w:rPr>
        <w:t xml:space="preserve">Primary dysmenorrhea represents a massive, yet frequently trivialized, global health burden that significantly impairs the quality of life, academic performance, and economic productivity of millions of reproductive-aged women. While non-steroidal anti-inflammatory drugs (NSAIDs) and combined oral contraceptives (COCs) remain the bedrock of current pharmacological management, their long-term utilization is severely compromised by prohibitive adverse effect profiles—ranging from gastrointestinal ulceration to cardiovascular and thromboembolic risks—as well as a substantial clinical failure rate of up to 20% in certain populations. Consequently, there is an urgent, compelling need to identify and scientifically validate novel, highly efficacious, and fundamentally safer therapeutic alternatives.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has a rich ethnopharmacological history of use as a powerful analgesic and antispasmodic agent. Extensive phytochemical profiling has revealed that its primary bioactive constituent, eugenol, possesses potent dual-inhibitory action on cyclooxygenase enzymes and voltage-gated calcium channels, mechanisms perfectly suited to counteract the prostaglandin-driven myometrial hypercontractility that defines dysmenorrhea. Despite these promising theoretical mechanisms, there remains a critical paucity of rigorous, controlled, in vivo experimental data explicitly evaluating the antidysmenorrheal efficacy and comprehensive acute safety profile of its concentrated hydroalcoholic extract. This study is designed to bridge this critical knowledge gap by systematically investigating the tocolytic capacity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in established animal models of dysmenorrhea, while concurrently executing standardized acute oral toxicity testing to firmly establish its therapeutic index.</w:t>
      </w:r>
    </w:p>
    <w:p>
      <w:pPr>
        <w:pStyle w:val="Heading2"/>
        <w:jc w:val="both"/>
      </w:pPr>
      <w:r>
        <w:rPr>
          <w:rFonts w:ascii="Times New Roman" w:hAnsi="Times New Roman" w:eastAsia="Times New Roman"/>
          <w:color w:val="000000"/>
          <w:sz w:val="24"/>
        </w:rPr>
        <w:t>1.12 Research Questions</w:t>
      </w:r>
    </w:p>
    <w:p>
      <w:pPr>
        <w:spacing w:line="360" w:lineRule="auto" w:after="0"/>
        <w:jc w:val="both"/>
      </w:pPr>
      <w:r>
        <w:rPr>
          <w:rFonts w:ascii="Times New Roman" w:hAnsi="Times New Roman" w:eastAsia="Times New Roman"/>
          <w:color w:val="000000"/>
          <w:sz w:val="24"/>
        </w:rPr>
        <w:t>This research is guided by the following core scientific questions:</w:t>
      </w:r>
    </w:p>
    <w:p>
      <w:pPr>
        <w:spacing w:line="360" w:lineRule="auto" w:after="0"/>
        <w:jc w:val="both"/>
      </w:pPr>
      <w:r>
        <w:rPr>
          <w:rFonts w:ascii="Times New Roman" w:hAnsi="Times New Roman" w:eastAsia="Times New Roman"/>
          <w:color w:val="000000"/>
          <w:sz w:val="24"/>
        </w:rPr>
        <w:t xml:space="preserve">1. What is the acute oral toxicity profile and the median lethal dose (LD50) of the hydroalcoholic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when administered to female mice in accordance with OECD Test Guideline 423?</w:t>
      </w:r>
    </w:p>
    <w:p>
      <w:pPr>
        <w:spacing w:line="360" w:lineRule="auto" w:after="0"/>
        <w:jc w:val="both"/>
      </w:pPr>
      <w:r>
        <w:rPr>
          <w:rFonts w:ascii="Times New Roman" w:hAnsi="Times New Roman" w:eastAsia="Times New Roman"/>
          <w:color w:val="000000"/>
          <w:sz w:val="24"/>
        </w:rPr>
        <w:t xml:space="preserve">2. Does the oral administration of the hydroalcoholic extract of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significantly attenuate oxytocin-induced uterine hypercontractility in experimental animal models?</w:t>
      </w:r>
    </w:p>
    <w:p>
      <w:pPr>
        <w:spacing w:line="360" w:lineRule="auto" w:after="0"/>
        <w:jc w:val="both"/>
      </w:pPr>
      <w:r>
        <w:rPr>
          <w:rFonts w:ascii="Times New Roman" w:hAnsi="Times New Roman" w:eastAsia="Times New Roman"/>
          <w:color w:val="000000"/>
          <w:sz w:val="24"/>
        </w:rPr>
        <w:t xml:space="preserve">3. How does the antidysmenorrhea (tocolytic) efficacy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extract compare to that of established standard pharmacological reference drugs, such as ibuprofen?</w:t>
      </w:r>
    </w:p>
    <w:p>
      <w:pPr>
        <w:pStyle w:val="Heading2"/>
        <w:jc w:val="both"/>
      </w:pPr>
      <w:r>
        <w:rPr>
          <w:rFonts w:ascii="Times New Roman" w:hAnsi="Times New Roman" w:eastAsia="Times New Roman"/>
          <w:color w:val="000000"/>
          <w:sz w:val="24"/>
        </w:rPr>
        <w:t>1.13 Study Hypothesis</w:t>
      </w:r>
    </w:p>
    <w:p>
      <w:pPr>
        <w:spacing w:line="360" w:lineRule="auto" w:after="0"/>
        <w:jc w:val="both"/>
      </w:pPr>
      <w:r>
        <w:rPr>
          <w:rFonts w:ascii="Times New Roman" w:hAnsi="Times New Roman" w:eastAsia="Times New Roman"/>
          <w:b/>
          <w:color w:val="000000"/>
          <w:sz w:val="24"/>
        </w:rPr>
        <w:t>Null Hypothesis (H0):</w:t>
      </w:r>
      <w:r>
        <w:rPr>
          <w:rFonts w:ascii="Times New Roman" w:hAnsi="Times New Roman" w:eastAsia="Times New Roman"/>
          <w:color w:val="000000"/>
          <w:sz w:val="24"/>
        </w:rPr>
        <w:t xml:space="preserve"> The hydroalcoholic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exhibits no significant acute oral toxicity and produces no significant reduction in uterine hypercontractility in experimental animal models of dysmenorrhea compared to vehicle controls.</w:t>
      </w:r>
    </w:p>
    <w:p>
      <w:pPr>
        <w:spacing w:line="360" w:lineRule="auto" w:after="0"/>
        <w:jc w:val="both"/>
      </w:pPr>
      <w:r>
        <w:rPr>
          <w:rFonts w:ascii="Times New Roman" w:hAnsi="Times New Roman" w:eastAsia="Times New Roman"/>
          <w:b/>
          <w:color w:val="000000"/>
          <w:sz w:val="24"/>
        </w:rPr>
        <w:t>Alternative Hypothesis (H1):</w:t>
      </w:r>
      <w:r>
        <w:rPr>
          <w:rFonts w:ascii="Times New Roman" w:hAnsi="Times New Roman" w:eastAsia="Times New Roman"/>
          <w:color w:val="000000"/>
          <w:sz w:val="24"/>
        </w:rPr>
        <w:t xml:space="preserve"> The hydroalcoholic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possesses a safe acute oral toxicity profile (LD50 &gt; 2000 mg/kg) and significantly attenuates uterine hypercontractility in experimental animal models of dysmenorrhea, demonstrating a potent tocolytic effect comparable to standard pharmacological therapies.</w:t>
      </w:r>
    </w:p>
    <w:p>
      <w:pPr>
        <w:pStyle w:val="Heading2"/>
        <w:jc w:val="both"/>
      </w:pPr>
      <w:r>
        <w:rPr>
          <w:rFonts w:ascii="Times New Roman" w:hAnsi="Times New Roman" w:eastAsia="Times New Roman"/>
          <w:color w:val="000000"/>
          <w:sz w:val="24"/>
        </w:rPr>
        <w:t>1.14 Aim and Objectives of the Study</w:t>
      </w:r>
    </w:p>
    <w:p>
      <w:pPr>
        <w:spacing w:line="360" w:lineRule="auto" w:after="0"/>
        <w:jc w:val="both"/>
      </w:pPr>
      <w:r>
        <w:rPr>
          <w:rFonts w:ascii="Times New Roman" w:hAnsi="Times New Roman" w:eastAsia="Times New Roman"/>
          <w:b/>
          <w:color w:val="000000"/>
          <w:sz w:val="24"/>
        </w:rPr>
        <w:t>Aim:</w:t>
      </w:r>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The primary aim of this study is to systematically evaluate the acute oral toxicity profile and the antidysmenorrhea (tocolytic) efficacy of the hydroalcoholic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using established female murine models.</w:t>
      </w:r>
    </w:p>
    <w:p>
      <w:pPr>
        <w:spacing w:line="360" w:lineRule="auto" w:after="0"/>
        <w:jc w:val="both"/>
      </w:pPr>
      <w:r>
        <w:rPr>
          <w:rFonts w:ascii="Times New Roman" w:hAnsi="Times New Roman" w:eastAsia="Times New Roman"/>
          <w:b/>
          <w:color w:val="000000"/>
          <w:sz w:val="24"/>
        </w:rPr>
        <w:t>Specific Objectives:</w:t>
      </w:r>
    </w:p>
    <w:p>
      <w:pPr>
        <w:spacing w:line="360" w:lineRule="auto" w:after="0"/>
        <w:jc w:val="both"/>
      </w:pPr>
      <w:r>
        <w:rPr>
          <w:rFonts w:ascii="Times New Roman" w:hAnsi="Times New Roman" w:eastAsia="Times New Roman"/>
          <w:color w:val="000000"/>
          <w:sz w:val="24"/>
        </w:rPr>
        <w:t xml:space="preserve">1. To prepare a standardized hydroalcoholic extract from the dried flower buds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w:t>
      </w:r>
    </w:p>
    <w:p>
      <w:pPr>
        <w:spacing w:line="360" w:lineRule="auto" w:after="0"/>
        <w:jc w:val="both"/>
      </w:pPr>
      <w:r>
        <w:rPr>
          <w:rFonts w:ascii="Times New Roman" w:hAnsi="Times New Roman" w:eastAsia="Times New Roman"/>
          <w:color w:val="000000"/>
          <w:sz w:val="24"/>
        </w:rPr>
        <w:t>2. To determine the acute oral toxicity (LD50) and observe any signs of behavioral or systemic toxicity of the extract in female mice following the OECD 423 guidelines.</w:t>
      </w:r>
    </w:p>
    <w:p>
      <w:pPr>
        <w:spacing w:line="360" w:lineRule="auto" w:after="0"/>
        <w:jc w:val="both"/>
      </w:pPr>
      <w:r>
        <w:rPr>
          <w:rFonts w:ascii="Times New Roman" w:hAnsi="Times New Roman" w:eastAsia="Times New Roman"/>
          <w:color w:val="000000"/>
          <w:sz w:val="24"/>
        </w:rPr>
        <w:t xml:space="preserve">3. To evaluate the inhibitory effects of varying doses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extract on oxytocin-induced writhing and uterine hypercontractility in female murine models.</w:t>
      </w:r>
    </w:p>
    <w:p>
      <w:pPr>
        <w:spacing w:line="360" w:lineRule="auto" w:after="0"/>
        <w:jc w:val="both"/>
      </w:pPr>
      <w:r>
        <w:rPr>
          <w:rFonts w:ascii="Times New Roman" w:hAnsi="Times New Roman" w:eastAsia="Times New Roman"/>
          <w:color w:val="000000"/>
          <w:sz w:val="24"/>
        </w:rPr>
        <w:t xml:space="preserve">4. To scientifically compare the observed tocolytic efficacy of the </w:t>
      </w:r>
      <w:r>
        <w:rPr>
          <w:rFonts w:ascii="Times New Roman" w:hAnsi="Times New Roman" w:eastAsia="Times New Roman"/>
          <w:i/>
          <w:color w:val="000000"/>
          <w:sz w:val="24"/>
        </w:rPr>
        <w:t>S. aromaticum</w:t>
      </w:r>
      <w:r>
        <w:rPr>
          <w:rFonts w:ascii="Times New Roman" w:hAnsi="Times New Roman" w:eastAsia="Times New Roman"/>
          <w:color w:val="000000"/>
          <w:sz w:val="24"/>
        </w:rPr>
        <w:t xml:space="preserve"> extract against an established standard NSAID therapy, such as ibuprofen.</w:t>
      </w:r>
    </w:p>
    <w:p>
      <w:r>
        <w:br w:type="page"/>
      </w:r>
    </w:p>
    <w:p>
      <w:pPr>
        <w:pStyle w:val="Heading1"/>
        <w:jc w:val="center"/>
      </w:pPr>
      <w:r>
        <w:rPr>
          <w:rFonts w:ascii="Times New Roman" w:hAnsi="Times New Roman" w:eastAsia="Times New Roman"/>
          <w:color w:val="000000"/>
          <w:sz w:val="28"/>
        </w:rPr>
        <w:t>REFERENCES</w:t>
      </w:r>
    </w:p>
    <w:p>
      <w:pPr>
        <w:spacing w:line="360" w:lineRule="auto" w:after="0"/>
        <w:jc w:val="both"/>
      </w:pPr>
      <w:r>
        <w:rPr>
          <w:rFonts w:ascii="Times New Roman" w:hAnsi="Times New Roman" w:eastAsia="Times New Roman"/>
          <w:color w:val="000000"/>
          <w:sz w:val="24"/>
        </w:rPr>
        <w:t xml:space="preserve">Agbaje, E. O., Adeneye, A. A., &amp; Daramola, A. O. (2010). Biochemical and toxicological studies of aqueous extract of Syzigium aromaticum (L.) Merr. &amp; Perry (Myrtaceae) in rodents. </w:t>
      </w:r>
      <w:r>
        <w:rPr>
          <w:rFonts w:ascii="Times New Roman" w:hAnsi="Times New Roman" w:eastAsia="Times New Roman"/>
          <w:i/>
          <w:color w:val="000000"/>
          <w:sz w:val="24"/>
        </w:rPr>
        <w:t>African Journal of Traditional, Complementary and Alternative Medicines</w:t>
      </w:r>
      <w:r>
        <w:rPr>
          <w:rFonts w:ascii="Times New Roman" w:hAnsi="Times New Roman" w:eastAsia="Times New Roman"/>
          <w:color w:val="000000"/>
          <w:sz w:val="24"/>
        </w:rPr>
        <w:t xml:space="preserve">, 6(3), 241–254. </w:t>
      </w:r>
      <w:hyperlink r:id="rId10">
        <w:r>
          <w:rPr>
            <w:color w:val="0000FF"/>
            <w:u w:val="single"/>
          </w:rPr>
          <w:t>source</w:t>
        </w:r>
      </w:hyperlink>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58(S87), 27–32. </w:t>
      </w:r>
      <w:hyperlink r:id="rId11">
        <w:r>
          <w:rPr>
            <w:color w:val="0000FF"/>
            <w:u w:val="single"/>
          </w:rPr>
          <w:t>source</w:t>
        </w:r>
      </w:hyperlink>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 Supplement</w:t>
      </w:r>
      <w:r>
        <w:rPr>
          <w:rFonts w:ascii="Times New Roman" w:hAnsi="Times New Roman" w:eastAsia="Times New Roman"/>
          <w:color w:val="000000"/>
          <w:sz w:val="24"/>
        </w:rPr>
        <w:t xml:space="preserve">, 87, 27–32. </w:t>
      </w:r>
      <w:hyperlink r:id="rId11">
        <w:r>
          <w:rPr>
            <w:color w:val="0000FF"/>
            <w:u w:val="single"/>
          </w:rPr>
          <w:t>source</w:t>
        </w:r>
      </w:hyperlink>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Al-Zereini, W. A., Al-Trawneh, I. N., Al-Qudah, M. A., &amp; Qaralleh, H. (2023). Antibacterial, antioxidant, and cytotoxic activities of Syzygium aromaticum (L.) Merr. &amp; Perry essential oil with identification of its chemical constituents. </w:t>
      </w:r>
      <w:r>
        <w:rPr>
          <w:rFonts w:ascii="Times New Roman" w:hAnsi="Times New Roman" w:eastAsia="Times New Roman"/>
          <w:i/>
          <w:color w:val="000000"/>
          <w:sz w:val="24"/>
        </w:rPr>
        <w:t>Zeitschrift für Naturforschung C</w:t>
      </w:r>
      <w:r>
        <w:rPr>
          <w:rFonts w:ascii="Times New Roman" w:hAnsi="Times New Roman" w:eastAsia="Times New Roman"/>
          <w:color w:val="000000"/>
          <w:sz w:val="24"/>
        </w:rPr>
        <w:t xml:space="preserve">, 78(3–4), 105–112. </w:t>
      </w:r>
      <w:hyperlink r:id="rId12">
        <w:r>
          <w:rPr>
            <w:color w:val="0000FF"/>
            <w:u w:val="single"/>
          </w:rPr>
          <w:t>source</w:t>
        </w:r>
      </w:hyperlink>
    </w:p>
    <w:p>
      <w:pPr>
        <w:spacing w:line="360" w:lineRule="auto" w:after="0"/>
        <w:jc w:val="both"/>
      </w:pPr>
      <w:r>
        <w:rPr>
          <w:rFonts w:ascii="Times New Roman" w:hAnsi="Times New Roman" w:eastAsia="Times New Roman"/>
          <w:color w:val="000000"/>
          <w:sz w:val="24"/>
        </w:rPr>
        <w:t xml:space="preserve">Alma, M. H., Ertas, M., Nitz, S., &amp; Kollmannsberger, H. (2007). Chemical composition and content of essential oil from the bud of cultivated Turkish clove (Syzygium aromaticum L.). </w:t>
      </w:r>
      <w:r>
        <w:rPr>
          <w:rFonts w:ascii="Times New Roman" w:hAnsi="Times New Roman" w:eastAsia="Times New Roman"/>
          <w:i/>
          <w:color w:val="000000"/>
          <w:sz w:val="24"/>
        </w:rPr>
        <w:t>BioResources</w:t>
      </w:r>
      <w:r>
        <w:rPr>
          <w:rFonts w:ascii="Times New Roman" w:hAnsi="Times New Roman" w:eastAsia="Times New Roman"/>
          <w:color w:val="000000"/>
          <w:sz w:val="24"/>
        </w:rPr>
        <w:t xml:space="preserve">, 2(2), 265–269. </w:t>
      </w:r>
      <w:hyperlink r:id="rId13">
        <w:r>
          <w:rPr>
            <w:color w:val="0000FF"/>
            <w:u w:val="single"/>
          </w:rPr>
          <w:t>source</w:t>
        </w:r>
      </w:hyperlink>
    </w:p>
    <w:p>
      <w:pPr>
        <w:spacing w:line="360" w:lineRule="auto" w:after="0"/>
        <w:jc w:val="both"/>
      </w:pPr>
      <w:r>
        <w:rPr>
          <w:rFonts w:ascii="Times New Roman" w:hAnsi="Times New Roman" w:eastAsia="Times New Roman"/>
          <w:color w:val="000000"/>
          <w:sz w:val="24"/>
        </w:rPr>
        <w:t xml:space="preserve">Altunyurt, S., Göl, M., Altunyurt, S., Sezer, O., &amp; Demir, N. (2005). Primary dysmenorrhea and uterine blood flow: A color Doppler study.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50(4), 251–255.</w:t>
      </w:r>
    </w:p>
    <w:p>
      <w:pPr>
        <w:spacing w:line="360" w:lineRule="auto" w:after="0"/>
        <w:jc w:val="both"/>
      </w:pPr>
      <w:r>
        <w:rPr>
          <w:rFonts w:ascii="Times New Roman" w:hAnsi="Times New Roman" w:eastAsia="Times New Roman"/>
          <w:color w:val="000000"/>
          <w:sz w:val="24"/>
        </w:rPr>
        <w:t xml:space="preserve">Ameade, E. P. K., Amalba, A., &amp; Mohammed, B. S. (2018). Prevalence of dysmenorrhea among University students in Northern Ghana; its impact and management strategies. </w:t>
      </w:r>
      <w:r>
        <w:rPr>
          <w:rFonts w:ascii="Times New Roman" w:hAnsi="Times New Roman" w:eastAsia="Times New Roman"/>
          <w:i/>
          <w:color w:val="000000"/>
          <w:sz w:val="24"/>
        </w:rPr>
        <w:t>BMC Women's Health</w:t>
      </w:r>
      <w:r>
        <w:rPr>
          <w:rFonts w:ascii="Times New Roman" w:hAnsi="Times New Roman" w:eastAsia="Times New Roman"/>
          <w:color w:val="000000"/>
          <w:sz w:val="24"/>
        </w:rPr>
        <w:t xml:space="preserve">, 18, 39. </w:t>
      </w:r>
      <w:hyperlink r:id="rId14">
        <w:r>
          <w:rPr>
            <w:color w:val="0000FF"/>
            <w:u w:val="single"/>
          </w:rPr>
          <w:t>source</w:t>
        </w:r>
      </w:hyperlink>
    </w:p>
    <w:p>
      <w:pPr>
        <w:spacing w:line="360" w:lineRule="auto" w:after="0"/>
        <w:jc w:val="both"/>
      </w:pPr>
      <w:r>
        <w:rPr>
          <w:rFonts w:ascii="Times New Roman" w:hAnsi="Times New Roman" w:eastAsia="Times New Roman"/>
          <w:color w:val="000000"/>
          <w:sz w:val="24"/>
        </w:rPr>
        <w:t xml:space="preserve">American College of Obstetricians and Gynecologists. (2018). ACOG Committee Opinion No. 760: Dysmenorrhea and endometriosis in the adolescent.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132(6), e249–e258. </w:t>
      </w:r>
      <w:hyperlink r:id="rId15">
        <w:r>
          <w:rPr>
            <w:color w:val="0000FF"/>
            <w:u w:val="single"/>
          </w:rPr>
          <w:t>source</w:t>
        </w:r>
      </w:hyperlink>
    </w:p>
    <w:p>
      <w:pPr>
        <w:spacing w:line="360" w:lineRule="auto" w:after="0"/>
        <w:jc w:val="both"/>
      </w:pPr>
      <w:r>
        <w:rPr>
          <w:rFonts w:ascii="Times New Roman" w:hAnsi="Times New Roman" w:eastAsia="Times New Roman"/>
          <w:color w:val="000000"/>
          <w:sz w:val="24"/>
        </w:rPr>
        <w:t xml:space="preserve">Anggitasari, W. (2018). Test for analgesic effects of clove leaf oil (Syzygium aromaticum) on Balb/C strain male mice. </w:t>
      </w:r>
      <w:r>
        <w:rPr>
          <w:rFonts w:ascii="Times New Roman" w:hAnsi="Times New Roman" w:eastAsia="Times New Roman"/>
          <w:i/>
          <w:color w:val="000000"/>
          <w:sz w:val="24"/>
        </w:rPr>
        <w:t>Jurnal Kesehatan dr. Soebandi</w:t>
      </w:r>
      <w:r>
        <w:rPr>
          <w:rFonts w:ascii="Times New Roman" w:hAnsi="Times New Roman" w:eastAsia="Times New Roman"/>
          <w:color w:val="000000"/>
          <w:sz w:val="24"/>
        </w:rPr>
        <w:t xml:space="preserve">, 6(2), 16–20. </w:t>
      </w:r>
      <w:hyperlink r:id="rId16">
        <w:r>
          <w:rPr>
            <w:color w:val="0000FF"/>
            <w:u w:val="single"/>
          </w:rPr>
          <w:t>source</w:t>
        </w:r>
      </w:hyperlink>
    </w:p>
    <w:p>
      <w:pPr>
        <w:spacing w:line="360" w:lineRule="auto" w:after="0"/>
        <w:jc w:val="both"/>
      </w:pPr>
      <w:r>
        <w:rPr>
          <w:rFonts w:ascii="Times New Roman" w:hAnsi="Times New Roman" w:eastAsia="Times New Roman"/>
          <w:color w:val="000000"/>
          <w:sz w:val="24"/>
        </w:rPr>
        <w:t xml:space="preserve">Awouters, F., Niemegeers, C. J. E., &amp; Janssen, P. A. J. (1988). The biological activity of eugenol, a major constituent of nutmeg (Myristica fragrans): Studies on prostaglandins, the intestine and other tissues.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2(3), 129–133. </w:t>
      </w:r>
      <w:hyperlink r:id="rId17">
        <w:r>
          <w:rPr>
            <w:color w:val="0000FF"/>
            <w:u w:val="single"/>
          </w:rPr>
          <w:t>source</w:t>
        </w:r>
      </w:hyperlink>
    </w:p>
    <w:p>
      <w:pPr>
        <w:spacing w:line="360" w:lineRule="auto" w:after="0"/>
        <w:jc w:val="both"/>
      </w:pPr>
      <w:r>
        <w:rPr>
          <w:rFonts w:ascii="Times New Roman" w:hAnsi="Times New Roman" w:eastAsia="Times New Roman"/>
          <w:color w:val="000000"/>
          <w:sz w:val="24"/>
        </w:rPr>
        <w:t xml:space="preserve">Aziz, M. A., Khan, A. H., Adnan, M., &amp; Ullah, H. (2018). Traditional phytomedicines for gynecological problems used by tribal communities of Mohmand Agency near the Pak-Afghan border area.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xml:space="preserve">, 28(3), 365–373. </w:t>
      </w:r>
      <w:hyperlink r:id="rId18">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Bachiega, T. F., de Sousa, J. P. B., Bastos, J. K., &amp; Sforcin, J. M. (2012). Clove and eugenol in noncytotoxic concentrations exert immunomodulatory/anti-inflammatory action on cytokine production by murine macrophages. </w:t>
      </w:r>
      <w:r>
        <w:rPr>
          <w:rFonts w:ascii="Times New Roman" w:hAnsi="Times New Roman" w:eastAsia="Times New Roman"/>
          <w:i/>
          <w:color w:val="000000"/>
          <w:sz w:val="24"/>
        </w:rPr>
        <w:t>Journal of Pharmacy and Pharmacology</w:t>
      </w:r>
      <w:r>
        <w:rPr>
          <w:rFonts w:ascii="Times New Roman" w:hAnsi="Times New Roman" w:eastAsia="Times New Roman"/>
          <w:color w:val="000000"/>
          <w:sz w:val="24"/>
        </w:rPr>
        <w:t xml:space="preserve">, 64(4), 610–616. </w:t>
      </w:r>
      <w:hyperlink r:id="rId19">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Barcikowska, Z., Rajkowska-Labon, E., Grzybowska, M. E., Hansdorfer-Korzon, R., &amp; Zorena, K. (2020). Inflammatory markers in dysmenorrhea and therapeutic options. </w:t>
      </w:r>
      <w:r>
        <w:rPr>
          <w:rFonts w:ascii="Times New Roman" w:hAnsi="Times New Roman" w:eastAsia="Times New Roman"/>
          <w:i/>
          <w:color w:val="000000"/>
          <w:sz w:val="24"/>
        </w:rPr>
        <w:t>Journal of Clinical Medicine</w:t>
      </w:r>
      <w:r>
        <w:rPr>
          <w:rFonts w:ascii="Times New Roman" w:hAnsi="Times New Roman" w:eastAsia="Times New Roman"/>
          <w:color w:val="000000"/>
          <w:sz w:val="24"/>
        </w:rPr>
        <w:t xml:space="preserve">, 9(5), 1454. </w:t>
      </w:r>
      <w:hyperlink r:id="rId20">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Batiha, G. E., Alkazmi, L. M., Wasef, L. G., Beshbishy, A. M., Nadwa, E. H., &amp; Rashwan, E. K. (2020). Syzygium aromaticum L. (Myrtaceae): Traditional uses, bioactive chemical constituents, pharmacological and toxicological activities. </w:t>
      </w:r>
      <w:r>
        <w:rPr>
          <w:rFonts w:ascii="Times New Roman" w:hAnsi="Times New Roman" w:eastAsia="Times New Roman"/>
          <w:i/>
          <w:color w:val="000000"/>
          <w:sz w:val="24"/>
        </w:rPr>
        <w:t>Biomolecules</w:t>
      </w:r>
      <w:r>
        <w:rPr>
          <w:rFonts w:ascii="Times New Roman" w:hAnsi="Times New Roman" w:eastAsia="Times New Roman"/>
          <w:color w:val="000000"/>
          <w:sz w:val="24"/>
        </w:rPr>
        <w:t xml:space="preserve">, 10(2), 202. </w:t>
      </w:r>
      <w:hyperlink r:id="rId21">
        <w:r>
          <w:rPr>
            <w:color w:val="0000FF"/>
            <w:u w:val="single"/>
          </w:rPr>
          <w:t>source</w:t>
        </w:r>
      </w:hyperlink>
    </w:p>
    <w:p>
      <w:pPr>
        <w:spacing w:line="360" w:lineRule="auto" w:after="0"/>
        <w:jc w:val="both"/>
      </w:pPr>
      <w:r>
        <w:rPr>
          <w:rFonts w:ascii="Times New Roman" w:hAnsi="Times New Roman" w:eastAsia="Times New Roman"/>
          <w:color w:val="000000"/>
          <w:sz w:val="24"/>
        </w:rPr>
        <w:t xml:space="preserve">Bhosle, R., Dighe, S., Kute, D., Ahuja, G., Ahuja, G., &amp; Laddha, K. (2022). Variation in the oil content in different parts of clove bud and from different geographical regions. </w:t>
      </w:r>
      <w:r>
        <w:rPr>
          <w:rFonts w:ascii="Times New Roman" w:hAnsi="Times New Roman" w:eastAsia="Times New Roman"/>
          <w:i/>
          <w:color w:val="000000"/>
          <w:sz w:val="24"/>
        </w:rPr>
        <w:t>Journal of Spices and Aromatic Crops</w:t>
      </w:r>
      <w:r>
        <w:rPr>
          <w:rFonts w:ascii="Times New Roman" w:hAnsi="Times New Roman" w:eastAsia="Times New Roman"/>
          <w:color w:val="000000"/>
          <w:sz w:val="24"/>
        </w:rPr>
        <w:t xml:space="preserve">, 31(1), 97–99. </w:t>
      </w:r>
      <w:hyperlink r:id="rId22">
        <w:r>
          <w:rPr>
            <w:color w:val="0000FF"/>
            <w:u w:val="single"/>
          </w:rPr>
          <w:t>source</w:t>
        </w:r>
      </w:hyperlink>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xml:space="preserve">, 39(7), 585–595. </w:t>
      </w:r>
      <w:hyperlink r:id="rId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xml:space="preserve">, 39(7), 585–595. </w:t>
      </w:r>
      <w:hyperlink r:id="rId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Cai, L., &amp; Wu, C. D. (1996). Compounds from Syzygium aromaticum possessing growth inhibitory activity against oral pathogens.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xml:space="preserve">, 59(10), 987–990. </w:t>
      </w:r>
      <w:hyperlink r:id="rId24">
        <w:r>
          <w:rPr>
            <w:color w:val="0000FF"/>
            <w:u w:val="single"/>
          </w:rPr>
          <w:t>source</w:t>
        </w:r>
      </w:hyperlink>
    </w:p>
    <w:p>
      <w:pPr>
        <w:spacing w:line="360" w:lineRule="auto" w:after="0"/>
        <w:jc w:val="both"/>
      </w:pPr>
      <w:r>
        <w:rPr>
          <w:rFonts w:ascii="Times New Roman" w:hAnsi="Times New Roman" w:eastAsia="Times New Roman"/>
          <w:color w:val="000000"/>
          <w:sz w:val="24"/>
        </w:rPr>
        <w:t xml:space="preserve">Chaieb, K., Hajlaoui, H., Zmantar, T., Kahla-Nakbi, A. B., Rouabhia, M., Mahdouani, K., &amp; Bakhrouf, A. (2007). The chemical composition and biological activity of clove essential oil, Eugenia caryophyllata (Syzigium aromaticum L. Myrtaceae): A short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21(6), 501–506. </w:t>
      </w:r>
      <w:hyperlink r:id="rId25">
        <w:r>
          <w:rPr>
            <w:color w:val="0000FF"/>
            <w:u w:val="single"/>
          </w:rPr>
          <w:t>source</w:t>
        </w:r>
      </w:hyperlink>
    </w:p>
    <w:p>
      <w:pPr>
        <w:spacing w:line="360" w:lineRule="auto" w:after="0"/>
        <w:jc w:val="both"/>
      </w:pPr>
      <w:r>
        <w:rPr>
          <w:rFonts w:ascii="Times New Roman" w:hAnsi="Times New Roman" w:eastAsia="Times New Roman"/>
          <w:color w:val="000000"/>
          <w:sz w:val="24"/>
        </w:rPr>
        <w:t xml:space="preserve">Chan, W. Y., Dawood, M. Y., &amp; Fuchs, F. (1979). Relief of dysmenorrhea with the prostaglandin synthetase inhibitor ibuprofen: Effect on prostaglandin levels in menstrual fluid.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135(1), 102–108. </w:t>
      </w:r>
      <w:hyperlink r:id="rId26">
        <w:r>
          <w:rPr>
            <w:color w:val="0000FF"/>
            <w:u w:val="single"/>
          </w:rPr>
          <w:t>source</w:t>
        </w:r>
      </w:hyperlink>
      <w:r>
        <w:rPr>
          <w:rFonts w:ascii="Times New Roman" w:hAnsi="Times New Roman" w:eastAsia="Times New Roman"/>
          <w:color w:val="000000"/>
          <w:sz w:val="24"/>
        </w:rPr>
        <w:t>90176-7)</w:t>
      </w:r>
    </w:p>
    <w:p>
      <w:pPr>
        <w:spacing w:line="360" w:lineRule="auto" w:after="0"/>
        <w:jc w:val="both"/>
      </w:pPr>
      <w:r>
        <w:rPr>
          <w:rFonts w:ascii="Times New Roman" w:hAnsi="Times New Roman" w:eastAsia="Times New Roman"/>
          <w:color w:val="000000"/>
          <w:sz w:val="24"/>
        </w:rPr>
        <w:t xml:space="preserve">Damiani, C. E., Rossoni, L. V., &amp; Vassallo, D. V. (2003). Vasorelaxant effects of eugenol on rat thoracic aorta. </w:t>
      </w:r>
      <w:r>
        <w:rPr>
          <w:rFonts w:ascii="Times New Roman" w:hAnsi="Times New Roman" w:eastAsia="Times New Roman"/>
          <w:i/>
          <w:color w:val="000000"/>
          <w:sz w:val="24"/>
        </w:rPr>
        <w:t>Vascular Pharmacology</w:t>
      </w:r>
      <w:r>
        <w:rPr>
          <w:rFonts w:ascii="Times New Roman" w:hAnsi="Times New Roman" w:eastAsia="Times New Roman"/>
          <w:color w:val="000000"/>
          <w:sz w:val="24"/>
        </w:rPr>
        <w:t xml:space="preserve">, 40(1), 59–66. </w:t>
      </w:r>
      <w:hyperlink r:id="rId27">
        <w:r>
          <w:rPr>
            <w:color w:val="0000FF"/>
            <w:u w:val="single"/>
          </w:rPr>
          <w:t>source</w:t>
        </w:r>
      </w:hyperlink>
      <w:r>
        <w:rPr>
          <w:rFonts w:ascii="Times New Roman" w:hAnsi="Times New Roman" w:eastAsia="Times New Roman"/>
          <w:color w:val="000000"/>
          <w:sz w:val="24"/>
        </w:rPr>
        <w:t>00311-7)</w:t>
      </w:r>
    </w:p>
    <w:p>
      <w:pPr>
        <w:spacing w:line="360" w:lineRule="auto" w:after="0"/>
        <w:jc w:val="both"/>
      </w:pPr>
      <w:r>
        <w:rPr>
          <w:rFonts w:ascii="Times New Roman" w:hAnsi="Times New Roman" w:eastAsia="Times New Roman"/>
          <w:color w:val="000000"/>
          <w:sz w:val="24"/>
        </w:rPr>
        <w:t xml:space="preserve">Daniel, A. N., Sartoretto, S. M., Schmidt, G., Caparroz-Assef, S. M., Bersani-Amado, C. A., &amp; Cuman, R. K. N. (2009). Anti-inflammatory and antinociceptive activities of eugenol essential oil in experimental animal models.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xml:space="preserve">, 19(1B), 212–217. </w:t>
      </w:r>
      <w:hyperlink r:id="rId28">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Dawood, M. Y. (1984). Ibuprofen and dysmenorrhea. </w:t>
      </w:r>
      <w:r>
        <w:rPr>
          <w:rFonts w:ascii="Times New Roman" w:hAnsi="Times New Roman" w:eastAsia="Times New Roman"/>
          <w:i/>
          <w:color w:val="000000"/>
          <w:sz w:val="24"/>
        </w:rPr>
        <w:t>American Journal of Medicine</w:t>
      </w:r>
      <w:r>
        <w:rPr>
          <w:rFonts w:ascii="Times New Roman" w:hAnsi="Times New Roman" w:eastAsia="Times New Roman"/>
          <w:color w:val="000000"/>
          <w:sz w:val="24"/>
        </w:rPr>
        <w:t xml:space="preserve">, 77(1), 87–94. </w:t>
      </w:r>
      <w:hyperlink r:id="rId29">
        <w:r>
          <w:rPr>
            <w:color w:val="0000FF"/>
            <w:u w:val="single"/>
          </w:rPr>
          <w:t>source</w:t>
        </w:r>
      </w:hyperlink>
      <w:r>
        <w:rPr>
          <w:rFonts w:ascii="Times New Roman" w:hAnsi="Times New Roman" w:eastAsia="Times New Roman"/>
          <w:color w:val="000000"/>
          <w:sz w:val="24"/>
        </w:rPr>
        <w:t>80025-X)</w:t>
      </w:r>
    </w:p>
    <w:p>
      <w:pPr>
        <w:spacing w:line="360" w:lineRule="auto" w:after="0"/>
        <w:jc w:val="both"/>
      </w:pPr>
      <w:r>
        <w:rPr>
          <w:rFonts w:ascii="Times New Roman" w:hAnsi="Times New Roman" w:eastAsia="Times New Roman"/>
          <w:color w:val="000000"/>
          <w:sz w:val="24"/>
        </w:rPr>
        <w:t xml:space="preserve">Dawood, M. Y. (1987). Dysmenorrhea and prostaglandins.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32(7), 469–475.</w:t>
      </w:r>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108(2), 428–441. </w:t>
      </w:r>
      <w:hyperlink r:id="rId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xml:space="preserve">, 108(2), 428–441. </w:t>
      </w:r>
      <w:hyperlink r:id="rId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Sanctis, V., Soliman, A., Bernasconi, S., Bianchin, L., Bona, G., Bozzola, M., Buzi, F., De Sanctis, C., Tonini, G., Rigon, F., &amp; Perissinotto, E. (2015). Primary dysmenorrhea in adolescents: Prevalence, impact and recent knowledge. </w:t>
      </w:r>
      <w:r>
        <w:rPr>
          <w:rFonts w:ascii="Times New Roman" w:hAnsi="Times New Roman" w:eastAsia="Times New Roman"/>
          <w:i/>
          <w:color w:val="000000"/>
          <w:sz w:val="24"/>
        </w:rPr>
        <w:t>Pediatric Endocrinology Reviews</w:t>
      </w:r>
      <w:r>
        <w:rPr>
          <w:rFonts w:ascii="Times New Roman" w:hAnsi="Times New Roman" w:eastAsia="Times New Roman"/>
          <w:color w:val="000000"/>
          <w:sz w:val="24"/>
        </w:rPr>
        <w:t xml:space="preserve">, 13(2), 512–520. </w:t>
      </w:r>
      <w:hyperlink r:id="rId31">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Devkota, H. P., &amp; Devkota, S. (2022). Culinary spices in food and medicine: An overview of Syzygium aromaticum (L.) Merr. and L. M. Perry Myrtaceae.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12, 793200. </w:t>
      </w:r>
      <w:hyperlink r:id="rId32">
        <w:r>
          <w:rPr>
            <w:color w:val="0000FF"/>
            <w:u w:val="single"/>
          </w:rPr>
          <w:t>source</w:t>
        </w:r>
      </w:hyperlink>
    </w:p>
    <w:p>
      <w:pPr>
        <w:spacing w:line="360" w:lineRule="auto" w:after="0"/>
        <w:jc w:val="both"/>
      </w:pPr>
      <w:r>
        <w:rPr>
          <w:rFonts w:ascii="Times New Roman" w:hAnsi="Times New Roman" w:eastAsia="Times New Roman"/>
          <w:color w:val="000000"/>
          <w:sz w:val="24"/>
        </w:rPr>
        <w:t xml:space="preserve">Dibazar, S. P., Fateh, S., &amp; Daneshmandi, S. (2015). Inhibition of inflammatory agent production by ethanol extract and eugenol of Syzygium aromaticum (L.) flower bud (clove) in LPS-stimulated Raw 264.7 cells. </w:t>
      </w:r>
      <w:r>
        <w:rPr>
          <w:rFonts w:ascii="Times New Roman" w:hAnsi="Times New Roman" w:eastAsia="Times New Roman"/>
          <w:i/>
          <w:color w:val="000000"/>
          <w:sz w:val="24"/>
        </w:rPr>
        <w:t>Research Journal of Medicinal Plants</w:t>
      </w:r>
      <w:r>
        <w:rPr>
          <w:rFonts w:ascii="Times New Roman" w:hAnsi="Times New Roman" w:eastAsia="Times New Roman"/>
          <w:color w:val="000000"/>
          <w:sz w:val="24"/>
        </w:rPr>
        <w:t xml:space="preserve">, 9(6), 264–274. </w:t>
      </w:r>
      <w:hyperlink r:id="rId33">
        <w:r>
          <w:rPr>
            <w:color w:val="0000FF"/>
            <w:u w:val="single"/>
          </w:rPr>
          <w:t>source</w:t>
        </w:r>
      </w:hyperlink>
    </w:p>
    <w:p>
      <w:pPr>
        <w:spacing w:line="360" w:lineRule="auto" w:after="0"/>
        <w:jc w:val="both"/>
      </w:pPr>
      <w:r>
        <w:rPr>
          <w:rFonts w:ascii="Times New Roman" w:hAnsi="Times New Roman" w:eastAsia="Times New Roman"/>
          <w:color w:val="000000"/>
          <w:sz w:val="24"/>
        </w:rPr>
        <w:t xml:space="preserve">Ding, Y., Gu, Z., Wang, Y., Wang, S., Chen, H., Zhang, H., ... &amp; Liu, J. (2021). The prevalence and risk factors of primary dysmenorrhea among female college students: A meta-analysis. </w:t>
      </w:r>
      <w:r>
        <w:rPr>
          <w:rFonts w:ascii="Times New Roman" w:hAnsi="Times New Roman" w:eastAsia="Times New Roman"/>
          <w:i/>
          <w:color w:val="000000"/>
          <w:sz w:val="24"/>
        </w:rPr>
        <w:t>Medicine</w:t>
      </w:r>
      <w:r>
        <w:rPr>
          <w:rFonts w:ascii="Times New Roman" w:hAnsi="Times New Roman" w:eastAsia="Times New Roman"/>
          <w:color w:val="000000"/>
          <w:sz w:val="24"/>
        </w:rPr>
        <w:t xml:space="preserve">, 100(28), e26633. </w:t>
      </w:r>
      <w:hyperlink r:id="rId34">
        <w:r>
          <w:rPr>
            <w:color w:val="0000FF"/>
            <w:u w:val="single"/>
          </w:rPr>
          <w:t>source</w:t>
        </w:r>
      </w:hyperlink>
    </w:p>
    <w:p>
      <w:pPr>
        <w:spacing w:line="360" w:lineRule="auto" w:after="0"/>
        <w:jc w:val="both"/>
      </w:pPr>
      <w:r>
        <w:rPr>
          <w:rFonts w:ascii="Times New Roman" w:hAnsi="Times New Roman" w:eastAsia="Times New Roman"/>
          <w:color w:val="000000"/>
          <w:sz w:val="24"/>
        </w:rPr>
        <w:t xml:space="preserve">Dobreva, D., &amp; Milcheva, R. (2021). GC-MS analysis of clove (Syzygium aromaticum L.) essential oil. </w:t>
      </w:r>
      <w:r>
        <w:rPr>
          <w:rFonts w:ascii="Times New Roman" w:hAnsi="Times New Roman" w:eastAsia="Times New Roman"/>
          <w:i/>
          <w:color w:val="000000"/>
          <w:sz w:val="24"/>
        </w:rPr>
        <w:t>Bulgarian Journal of Agricultural Science</w:t>
      </w:r>
      <w:r>
        <w:rPr>
          <w:rFonts w:ascii="Times New Roman" w:hAnsi="Times New Roman" w:eastAsia="Times New Roman"/>
          <w:color w:val="000000"/>
          <w:sz w:val="24"/>
        </w:rPr>
        <w:t>, 27(1), 187–191.</w:t>
      </w:r>
    </w:p>
    <w:p>
      <w:pPr>
        <w:spacing w:line="360" w:lineRule="auto" w:after="0"/>
        <w:jc w:val="both"/>
      </w:pPr>
      <w:r>
        <w:rPr>
          <w:rFonts w:ascii="Times New Roman" w:hAnsi="Times New Roman" w:eastAsia="Times New Roman"/>
          <w:color w:val="000000"/>
          <w:sz w:val="24"/>
        </w:rPr>
        <w:t xml:space="preserve">Dorman, H. J. D., &amp; Deans, S. G. (2000). Antimicrobial agents from plants: Antibacterial activity of plant volatile oils. </w:t>
      </w:r>
      <w:r>
        <w:rPr>
          <w:rFonts w:ascii="Times New Roman" w:hAnsi="Times New Roman" w:eastAsia="Times New Roman"/>
          <w:i/>
          <w:color w:val="000000"/>
          <w:sz w:val="24"/>
        </w:rPr>
        <w:t>Journal of Applied Microbiology</w:t>
      </w:r>
      <w:r>
        <w:rPr>
          <w:rFonts w:ascii="Times New Roman" w:hAnsi="Times New Roman" w:eastAsia="Times New Roman"/>
          <w:color w:val="000000"/>
          <w:sz w:val="24"/>
        </w:rPr>
        <w:t xml:space="preserve">, 88(2), 308–316. </w:t>
      </w:r>
      <w:hyperlink r:id="rId35">
        <w:r>
          <w:rPr>
            <w:color w:val="0000FF"/>
            <w:u w:val="single"/>
          </w:rPr>
          <w:t>source</w:t>
        </w:r>
      </w:hyperlink>
    </w:p>
    <w:p>
      <w:pPr>
        <w:spacing w:line="360" w:lineRule="auto" w:after="0"/>
        <w:jc w:val="both"/>
      </w:pPr>
      <w:r>
        <w:rPr>
          <w:rFonts w:ascii="Times New Roman" w:hAnsi="Times New Roman" w:eastAsia="Times New Roman"/>
          <w:color w:val="000000"/>
          <w:sz w:val="24"/>
        </w:rPr>
        <w:t xml:space="preserve">Eisenhut, M. (2024). Eugenol: A comprehensive review of its pharmacological properties and therapeutic potential. </w:t>
      </w:r>
      <w:r>
        <w:rPr>
          <w:rFonts w:ascii="Times New Roman" w:hAnsi="Times New Roman" w:eastAsia="Times New Roman"/>
          <w:i/>
          <w:color w:val="000000"/>
          <w:sz w:val="24"/>
        </w:rPr>
        <w:t>Pharmaceuticals</w:t>
      </w:r>
      <w:r>
        <w:rPr>
          <w:rFonts w:ascii="Times New Roman" w:hAnsi="Times New Roman" w:eastAsia="Times New Roman"/>
          <w:color w:val="000000"/>
          <w:sz w:val="24"/>
        </w:rPr>
        <w:t xml:space="preserve">, 17(1), 45. </w:t>
      </w:r>
      <w:hyperlink r:id="rId36">
        <w:r>
          <w:rPr>
            <w:color w:val="0000FF"/>
            <w:u w:val="single"/>
          </w:rPr>
          <w:t>source</w:t>
        </w:r>
      </w:hyperlink>
    </w:p>
    <w:p>
      <w:pPr>
        <w:spacing w:line="360" w:lineRule="auto" w:after="0"/>
        <w:jc w:val="both"/>
      </w:pPr>
      <w:r>
        <w:rPr>
          <w:rFonts w:ascii="Times New Roman" w:hAnsi="Times New Roman" w:eastAsia="Times New Roman"/>
          <w:color w:val="000000"/>
          <w:sz w:val="24"/>
        </w:rPr>
        <w:t xml:space="preserve">Ekpenyong, C. E., Davis, K. J., Akpan, U. P., &amp; Daniel, N. E. (2022). Dysmenorrhea: A review of current knowledge and management strategies. </w:t>
      </w:r>
      <w:r>
        <w:rPr>
          <w:rFonts w:ascii="Times New Roman" w:hAnsi="Times New Roman" w:eastAsia="Times New Roman"/>
          <w:i/>
          <w:color w:val="000000"/>
          <w:sz w:val="24"/>
        </w:rPr>
        <w:t>Journal of Obstetrics and Gynaecology</w:t>
      </w:r>
      <w:r>
        <w:rPr>
          <w:rFonts w:ascii="Times New Roman" w:hAnsi="Times New Roman" w:eastAsia="Times New Roman"/>
          <w:color w:val="000000"/>
          <w:sz w:val="24"/>
        </w:rPr>
        <w:t xml:space="preserve">, 42(5), 1033–1044. </w:t>
      </w:r>
      <w:hyperlink r:id="rId37">
        <w:r>
          <w:rPr>
            <w:color w:val="0000FF"/>
            <w:u w:val="single"/>
          </w:rPr>
          <w:t>source</w:t>
        </w:r>
      </w:hyperlink>
    </w:p>
    <w:p>
      <w:pPr>
        <w:spacing w:line="360" w:lineRule="auto" w:after="0"/>
        <w:jc w:val="both"/>
      </w:pPr>
      <w:r>
        <w:rPr>
          <w:rFonts w:ascii="Times New Roman" w:hAnsi="Times New Roman" w:eastAsia="Times New Roman"/>
          <w:color w:val="000000"/>
          <w:sz w:val="24"/>
        </w:rPr>
        <w:t xml:space="preserve">El-Ghallab, O., Abo-Elkheer, M., &amp; El-Massry, K. F. (2020). GC-MS analysis of essential oil of clove (Syzygium aromaticum).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23(3), 589–596. </w:t>
      </w:r>
      <w:hyperlink r:id="rId38">
        <w:r>
          <w:rPr>
            <w:color w:val="0000FF"/>
            <w:u w:val="single"/>
          </w:rPr>
          <w:t>source</w:t>
        </w:r>
      </w:hyperlink>
    </w:p>
    <w:p>
      <w:pPr>
        <w:spacing w:line="360" w:lineRule="auto" w:after="0"/>
        <w:jc w:val="both"/>
      </w:pPr>
      <w:r>
        <w:rPr>
          <w:rFonts w:ascii="Times New Roman" w:hAnsi="Times New Roman" w:eastAsia="Times New Roman"/>
          <w:color w:val="000000"/>
          <w:sz w:val="24"/>
        </w:rPr>
        <w:t xml:space="preserve">Elwakeel, H. A., Moneim, H. A., Farid, M., &amp; Gohar, A. A. (2007). Clove oil cream: A new effective treatment for chronic anal fissure. </w:t>
      </w:r>
      <w:r>
        <w:rPr>
          <w:rFonts w:ascii="Times New Roman" w:hAnsi="Times New Roman" w:eastAsia="Times New Roman"/>
          <w:i/>
          <w:color w:val="000000"/>
          <w:sz w:val="24"/>
        </w:rPr>
        <w:t>Colorectal Disease</w:t>
      </w:r>
      <w:r>
        <w:rPr>
          <w:rFonts w:ascii="Times New Roman" w:hAnsi="Times New Roman" w:eastAsia="Times New Roman"/>
          <w:color w:val="000000"/>
          <w:sz w:val="24"/>
        </w:rPr>
        <w:t xml:space="preserve">, 9(6), 549–552. </w:t>
      </w:r>
      <w:hyperlink r:id="rId39">
        <w:r>
          <w:rPr>
            <w:color w:val="0000FF"/>
            <w:u w:val="single"/>
          </w:rPr>
          <w:t>source</w:t>
        </w:r>
      </w:hyperlink>
    </w:p>
    <w:p>
      <w:pPr>
        <w:spacing w:line="360" w:lineRule="auto" w:after="0"/>
        <w:jc w:val="both"/>
      </w:pPr>
      <w:r>
        <w:rPr>
          <w:rFonts w:ascii="Times New Roman" w:hAnsi="Times New Roman" w:eastAsia="Times New Roman"/>
          <w:color w:val="000000"/>
          <w:sz w:val="24"/>
        </w:rPr>
        <w:t xml:space="preserve">Esmaeili, F., Asefi, N., &amp; Eslami, M. (2022). Anti-inflammatory and anti-nociceptive effects of cinnamon and clove essential oils nanogels: An in vivo study. </w:t>
      </w:r>
      <w:r>
        <w:rPr>
          <w:rFonts w:ascii="Times New Roman" w:hAnsi="Times New Roman" w:eastAsia="Times New Roman"/>
          <w:i/>
          <w:color w:val="000000"/>
          <w:sz w:val="24"/>
        </w:rPr>
        <w:t>BMC Complementary Medicine and Therapies</w:t>
      </w:r>
      <w:r>
        <w:rPr>
          <w:rFonts w:ascii="Times New Roman" w:hAnsi="Times New Roman" w:eastAsia="Times New Roman"/>
          <w:color w:val="000000"/>
          <w:sz w:val="24"/>
        </w:rPr>
        <w:t xml:space="preserve">, 22, 143. </w:t>
      </w:r>
      <w:hyperlink r:id="rId40">
        <w:r>
          <w:rPr>
            <w:color w:val="0000FF"/>
            <w:u w:val="single"/>
          </w:rPr>
          <w:t>source</w:t>
        </w:r>
      </w:hyperlink>
    </w:p>
    <w:p>
      <w:pPr>
        <w:spacing w:line="360" w:lineRule="auto" w:after="0"/>
        <w:jc w:val="both"/>
      </w:pPr>
      <w:r>
        <w:rPr>
          <w:rFonts w:ascii="Times New Roman" w:hAnsi="Times New Roman" w:eastAsia="Times New Roman"/>
          <w:color w:val="000000"/>
          <w:sz w:val="24"/>
        </w:rPr>
        <w:t xml:space="preserve">European Medicines Agency (EMA). (2011). Final assessment report on Syzygium aromaticum (L.) Merill et L. M. Perry, flos and Syzygium aromaticum (L.) Merill et L. M. Perry, floris aetheroleum. </w:t>
      </w:r>
      <w:r>
        <w:rPr>
          <w:rFonts w:ascii="Times New Roman" w:hAnsi="Times New Roman" w:eastAsia="Times New Roman"/>
          <w:i/>
          <w:color w:val="000000"/>
          <w:sz w:val="24"/>
        </w:rPr>
        <w:t>EMA/HMPC/534946/2010</w:t>
      </w:r>
      <w:r>
        <w:rPr>
          <w:rFonts w:ascii="Times New Roman" w:hAnsi="Times New Roman" w:eastAsia="Times New Roman"/>
          <w:color w:val="000000"/>
          <w:sz w:val="24"/>
        </w:rPr>
        <w:t xml:space="preserve">. </w:t>
      </w:r>
      <w:hyperlink r:id="rId41">
        <w:r>
          <w:rPr>
            <w:color w:val="0000FF"/>
            <w:u w:val="single"/>
          </w:rPr>
          <w:t>source</w:t>
        </w:r>
      </w:hyperlink>
    </w:p>
    <w:p>
      <w:pPr>
        <w:spacing w:line="360" w:lineRule="auto" w:after="0"/>
        <w:jc w:val="both"/>
      </w:pPr>
      <w:r>
        <w:rPr>
          <w:rFonts w:ascii="Times New Roman" w:hAnsi="Times New Roman" w:eastAsia="Times New Roman"/>
          <w:color w:val="000000"/>
          <w:sz w:val="24"/>
        </w:rPr>
        <w:t xml:space="preserve">Ezebialu, I. U., Ezenyeaku, C. C., &amp; Umeobika, J. C. (2021). Prevalence of dysmenorrhea and its contribution to school absenteeism among Nigerian undergraduate students. </w:t>
      </w:r>
      <w:r>
        <w:rPr>
          <w:rFonts w:ascii="Times New Roman" w:hAnsi="Times New Roman" w:eastAsia="Times New Roman"/>
          <w:i/>
          <w:color w:val="000000"/>
          <w:sz w:val="24"/>
        </w:rPr>
        <w:t>Annals of Health Research</w:t>
      </w:r>
      <w:r>
        <w:rPr>
          <w:rFonts w:ascii="Times New Roman" w:hAnsi="Times New Roman" w:eastAsia="Times New Roman"/>
          <w:color w:val="000000"/>
          <w:sz w:val="24"/>
        </w:rPr>
        <w:t xml:space="preserve">, 7(1), 59–66. </w:t>
      </w:r>
      <w:hyperlink r:id="rId42">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Feng, J., Luo, J., Wang, J., &amp; Zhang, Y. (2023). Eugenol: A potential natural product for the treatment of inflammatory diseases.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14, 1185412. </w:t>
      </w:r>
      <w:hyperlink r:id="rId43">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Feng, X., Wang, X., &amp; Zhou, Y. (2018). Comparison of the efficacy and safety of non-steroidal anti-inflammatory drugs for patients with primary dysmenorrhea: A network meta-analysis. </w:t>
      </w:r>
      <w:r>
        <w:rPr>
          <w:rFonts w:ascii="Times New Roman" w:hAnsi="Times New Roman" w:eastAsia="Times New Roman"/>
          <w:i/>
          <w:color w:val="000000"/>
          <w:sz w:val="24"/>
        </w:rPr>
        <w:t>Molecular Pain</w:t>
      </w:r>
      <w:r>
        <w:rPr>
          <w:rFonts w:ascii="Times New Roman" w:hAnsi="Times New Roman" w:eastAsia="Times New Roman"/>
          <w:color w:val="000000"/>
          <w:sz w:val="24"/>
        </w:rPr>
        <w:t xml:space="preserve">, 14, 1744806918770320. </w:t>
      </w:r>
      <w:hyperlink r:id="rId44">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Ferries-Rowe, E., Corey, E., &amp; Archer, D. F. (2020). Primary Dysmenorrhea: Diagnosis and Therapy.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xml:space="preserve">, 136(5), 1047–1058. </w:t>
      </w:r>
      <w:hyperlink r:id="rId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Ferries-Rowe, E., Corey, E., &amp; Archer, J. S. (2020). Primary dysmenorrhea: Diagnosis and therapy.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136(5), 1047–1058. </w:t>
      </w:r>
      <w:hyperlink r:id="rId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Fischer, I. U., von Unruh, G. E., &amp; Dengler, H. J. (1990). The metabolism of eugenol in man. </w:t>
      </w:r>
      <w:r>
        <w:rPr>
          <w:rFonts w:ascii="Times New Roman" w:hAnsi="Times New Roman" w:eastAsia="Times New Roman"/>
          <w:i/>
          <w:color w:val="000000"/>
          <w:sz w:val="24"/>
        </w:rPr>
        <w:t>Xenobiotica</w:t>
      </w:r>
      <w:r>
        <w:rPr>
          <w:rFonts w:ascii="Times New Roman" w:hAnsi="Times New Roman" w:eastAsia="Times New Roman"/>
          <w:color w:val="000000"/>
          <w:sz w:val="24"/>
        </w:rPr>
        <w:t xml:space="preserve">, 20(2), 209–222. </w:t>
      </w:r>
      <w:hyperlink r:id="rId46">
        <w:r>
          <w:rPr>
            <w:color w:val="0000FF"/>
            <w:u w:val="single"/>
          </w:rPr>
          <w:t>source</w:t>
        </w:r>
      </w:hyperlink>
    </w:p>
    <w:p>
      <w:pPr>
        <w:spacing w:line="360" w:lineRule="auto" w:after="0"/>
        <w:jc w:val="both"/>
      </w:pPr>
      <w:r>
        <w:rPr>
          <w:rFonts w:ascii="Times New Roman" w:hAnsi="Times New Roman" w:eastAsia="Times New Roman"/>
          <w:color w:val="000000"/>
          <w:sz w:val="24"/>
        </w:rPr>
        <w:t xml:space="preserve">Flower, R. J. (2003). The development of COX-2 inhibitors. </w:t>
      </w:r>
      <w:r>
        <w:rPr>
          <w:rFonts w:ascii="Times New Roman" w:hAnsi="Times New Roman" w:eastAsia="Times New Roman"/>
          <w:i/>
          <w:color w:val="000000"/>
          <w:sz w:val="24"/>
        </w:rPr>
        <w:t>Nature Reviews Drug Discovery</w:t>
      </w:r>
      <w:r>
        <w:rPr>
          <w:rFonts w:ascii="Times New Roman" w:hAnsi="Times New Roman" w:eastAsia="Times New Roman"/>
          <w:color w:val="000000"/>
          <w:sz w:val="24"/>
        </w:rPr>
        <w:t xml:space="preserve">, 2(3), 179–191. </w:t>
      </w:r>
      <w:hyperlink r:id="rId47">
        <w:r>
          <w:rPr>
            <w:color w:val="0000FF"/>
            <w:u w:val="single"/>
          </w:rPr>
          <w:t>source</w:t>
        </w:r>
      </w:hyperlink>
    </w:p>
    <w:p>
      <w:pPr>
        <w:spacing w:line="360" w:lineRule="auto" w:after="0"/>
        <w:jc w:val="both"/>
      </w:pPr>
      <w:r>
        <w:rPr>
          <w:rFonts w:ascii="Times New Roman" w:hAnsi="Times New Roman" w:eastAsia="Times New Roman"/>
          <w:color w:val="000000"/>
          <w:sz w:val="24"/>
        </w:rPr>
        <w:t xml:space="preserve">Fuchs, A. R., Fuchs, F., Husslein, P., &amp; Soloff, M. S. (2002). Involvement of oxytocin and vasopressin in the pathophysiology of preterm labor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81(12), 1109–1117. </w:t>
      </w:r>
      <w:hyperlink r:id="rId48">
        <w:r>
          <w:rPr>
            <w:color w:val="0000FF"/>
            <w:u w:val="single"/>
          </w:rPr>
          <w:t>source</w:t>
        </w:r>
      </w:hyperlink>
    </w:p>
    <w:p>
      <w:pPr>
        <w:spacing w:line="360" w:lineRule="auto" w:after="0"/>
        <w:jc w:val="both"/>
      </w:pPr>
      <w:r>
        <w:rPr>
          <w:rFonts w:ascii="Times New Roman" w:hAnsi="Times New Roman" w:eastAsia="Times New Roman"/>
          <w:color w:val="000000"/>
          <w:sz w:val="24"/>
        </w:rPr>
        <w:t xml:space="preserve">Gaytán, M., de la Torre, M. A., &amp; Morales-Ríos, M. S. (2019). Eugenol: A review of its pharmacological properties and potential therapeutic applications. </w:t>
      </w:r>
      <w:r>
        <w:rPr>
          <w:rFonts w:ascii="Times New Roman" w:hAnsi="Times New Roman" w:eastAsia="Times New Roman"/>
          <w:i/>
          <w:color w:val="000000"/>
          <w:sz w:val="24"/>
        </w:rPr>
        <w:t>Mini-Reviews in Medicinal Chemistry</w:t>
      </w:r>
      <w:r>
        <w:rPr>
          <w:rFonts w:ascii="Times New Roman" w:hAnsi="Times New Roman" w:eastAsia="Times New Roman"/>
          <w:color w:val="000000"/>
          <w:sz w:val="24"/>
        </w:rPr>
        <w:t xml:space="preserve">, 19(6), 471–481. </w:t>
      </w:r>
      <w:hyperlink r:id="rId49">
        <w:r>
          <w:rPr>
            <w:color w:val="0000FF"/>
            <w:u w:val="single"/>
          </w:rPr>
          <w:t>source</w:t>
        </w:r>
      </w:hyperlink>
    </w:p>
    <w:p>
      <w:pPr>
        <w:spacing w:line="360" w:lineRule="auto" w:after="0"/>
        <w:jc w:val="both"/>
      </w:pPr>
      <w:r>
        <w:rPr>
          <w:rFonts w:ascii="Times New Roman" w:hAnsi="Times New Roman" w:eastAsia="Times New Roman"/>
          <w:color w:val="000000"/>
          <w:sz w:val="24"/>
        </w:rPr>
        <w:t xml:space="preserve">Gopalakrishnan, M., Narayanan, C. S., &amp; Mathew, A. G. (1984). Chemical composition of Indian clove bud oil. </w:t>
      </w:r>
      <w:r>
        <w:rPr>
          <w:rFonts w:ascii="Times New Roman" w:hAnsi="Times New Roman" w:eastAsia="Times New Roman"/>
          <w:i/>
          <w:color w:val="000000"/>
          <w:sz w:val="24"/>
        </w:rPr>
        <w:t>Indian Perfumer</w:t>
      </w:r>
      <w:r>
        <w:rPr>
          <w:rFonts w:ascii="Times New Roman" w:hAnsi="Times New Roman" w:eastAsia="Times New Roman"/>
          <w:color w:val="000000"/>
          <w:sz w:val="24"/>
        </w:rPr>
        <w:t>, 28(3–4), 144–146.</w:t>
      </w:r>
    </w:p>
    <w:p>
      <w:pPr>
        <w:spacing w:line="360" w:lineRule="auto" w:after="0"/>
        <w:jc w:val="both"/>
      </w:pPr>
      <w:r>
        <w:rPr>
          <w:rFonts w:ascii="Times New Roman" w:hAnsi="Times New Roman" w:eastAsia="Times New Roman"/>
          <w:color w:val="000000"/>
          <w:sz w:val="24"/>
        </w:rPr>
        <w:t xml:space="preserve">Gorji, A., &amp; Khaleghi Ghadiri, M. (2021). History of dysmenorrhea: From ancient times to the present. </w:t>
      </w:r>
      <w:r>
        <w:rPr>
          <w:rFonts w:ascii="Times New Roman" w:hAnsi="Times New Roman" w:eastAsia="Times New Roman"/>
          <w:i/>
          <w:color w:val="000000"/>
          <w:sz w:val="24"/>
        </w:rPr>
        <w:t>Journal of the History of Medicine and Allied Sciences</w:t>
      </w:r>
      <w:r>
        <w:rPr>
          <w:rFonts w:ascii="Times New Roman" w:hAnsi="Times New Roman" w:eastAsia="Times New Roman"/>
          <w:color w:val="000000"/>
          <w:sz w:val="24"/>
        </w:rPr>
        <w:t xml:space="preserve">, 76(2), 163–185. </w:t>
      </w:r>
      <w:hyperlink r:id="rId50">
        <w:r>
          <w:rPr>
            <w:color w:val="0000FF"/>
            <w:u w:val="single"/>
          </w:rPr>
          <w:t>source</w:t>
        </w:r>
      </w:hyperlink>
    </w:p>
    <w:p>
      <w:pPr>
        <w:spacing w:line="360" w:lineRule="auto" w:after="0"/>
        <w:jc w:val="both"/>
      </w:pPr>
      <w:r>
        <w:rPr>
          <w:rFonts w:ascii="Times New Roman" w:hAnsi="Times New Roman" w:eastAsia="Times New Roman"/>
          <w:color w:val="000000"/>
          <w:sz w:val="24"/>
        </w:rPr>
        <w:t xml:space="preserve">Gouda, M. R., &amp; Srivastav, S. K. (2022). Eugenol: A natural analgesic and anti-inflammatory agent.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xml:space="preserve">, 36(10), 2570–2583. </w:t>
      </w:r>
      <w:hyperlink r:id="rId51">
        <w:r>
          <w:rPr>
            <w:color w:val="0000FF"/>
            <w:u w:val="single"/>
          </w:rPr>
          <w:t>source</w:t>
        </w:r>
      </w:hyperlink>
    </w:p>
    <w:p>
      <w:pPr>
        <w:spacing w:line="360" w:lineRule="auto" w:after="0"/>
        <w:jc w:val="both"/>
      </w:pPr>
      <w:r>
        <w:rPr>
          <w:rFonts w:ascii="Times New Roman" w:hAnsi="Times New Roman" w:eastAsia="Times New Roman"/>
          <w:color w:val="000000"/>
          <w:sz w:val="24"/>
        </w:rPr>
        <w:t xml:space="preserve">Graves, G. (2019). OECD guideline 423: Acute oral toxicity testing in drug development.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xml:space="preserve">, 108, 104456. </w:t>
      </w:r>
      <w:hyperlink r:id="rId52">
        <w:r>
          <w:rPr>
            <w:color w:val="0000FF"/>
            <w:u w:val="single"/>
          </w:rPr>
          <w:t>source</w:t>
        </w:r>
      </w:hyperlink>
    </w:p>
    <w:p>
      <w:pPr>
        <w:spacing w:line="360" w:lineRule="auto" w:after="0"/>
        <w:jc w:val="both"/>
      </w:pPr>
      <w:r>
        <w:rPr>
          <w:rFonts w:ascii="Times New Roman" w:hAnsi="Times New Roman" w:eastAsia="Times New Roman"/>
          <w:color w:val="000000"/>
          <w:sz w:val="24"/>
        </w:rPr>
        <w:t xml:space="preserve">Guenette, S. A., Beaudry, F., Marier, J. F., &amp; Vachon, P. (2006). Pharmacokinetics and anesthetic activity of eugenol in male Sprague-Dawley rats. </w:t>
      </w:r>
      <w:r>
        <w:rPr>
          <w:rFonts w:ascii="Times New Roman" w:hAnsi="Times New Roman" w:eastAsia="Times New Roman"/>
          <w:i/>
          <w:color w:val="000000"/>
          <w:sz w:val="24"/>
        </w:rPr>
        <w:t>Journal of Veterinary Pharmacology and Therapeutics</w:t>
      </w:r>
      <w:r>
        <w:rPr>
          <w:rFonts w:ascii="Times New Roman" w:hAnsi="Times New Roman" w:eastAsia="Times New Roman"/>
          <w:color w:val="000000"/>
          <w:sz w:val="24"/>
        </w:rPr>
        <w:t xml:space="preserve">, 29(4), 265–270. </w:t>
      </w:r>
      <w:hyperlink r:id="rId53">
        <w:r>
          <w:rPr>
            <w:color w:val="0000FF"/>
            <w:u w:val="single"/>
          </w:rPr>
          <w:t>source</w:t>
        </w:r>
      </w:hyperlink>
    </w:p>
    <w:p>
      <w:pPr>
        <w:spacing w:line="360" w:lineRule="auto" w:after="0"/>
        <w:jc w:val="both"/>
      </w:pPr>
      <w:r>
        <w:rPr>
          <w:rFonts w:ascii="Times New Roman" w:hAnsi="Times New Roman" w:eastAsia="Times New Roman"/>
          <w:color w:val="000000"/>
          <w:sz w:val="24"/>
        </w:rPr>
        <w:t xml:space="preserve">Guimarães, A. G., Quintans, J. S. S., &amp; Quintans-Júnior, L. J. (2013). Monoterpenes with analgesic activity—a systematic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27(1), 1–15. </w:t>
      </w:r>
      <w:hyperlink r:id="rId54">
        <w:r>
          <w:rPr>
            <w:color w:val="0000FF"/>
            <w:u w:val="single"/>
          </w:rPr>
          <w:t>source</w:t>
        </w:r>
      </w:hyperlink>
    </w:p>
    <w:p>
      <w:pPr>
        <w:spacing w:line="360" w:lineRule="auto" w:after="0"/>
        <w:jc w:val="both"/>
      </w:pPr>
      <w:r>
        <w:rPr>
          <w:rFonts w:ascii="Times New Roman" w:hAnsi="Times New Roman" w:eastAsia="Times New Roman"/>
          <w:color w:val="000000"/>
          <w:sz w:val="24"/>
        </w:rPr>
        <w:t xml:space="preserve">Gülçin, İ. (2011). Antioxidant activity of eugenol: A structure–activity relationship study.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xml:space="preserve">, 14(9), 975–985. </w:t>
      </w:r>
      <w:hyperlink r:id="rId55">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Halder, S., Mehta, A. K., &amp; Mediratta, P. K. (2011). Acute effect of essential oil of Eugenia caryophyllata on cognition and pain in mice.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xml:space="preserve">, 384(3), 243–251. </w:t>
      </w:r>
      <w:hyperlink r:id="rId56">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Harel, Z. (2006). Dysmenorrhea in adolescents and young adults: Etiology and management.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19(6), 363–371. </w:t>
      </w:r>
      <w:hyperlink r:id="rId57">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Harel, Z. (2008). Dysmenorrhea in adolescents. </w:t>
      </w:r>
      <w:r>
        <w:rPr>
          <w:rFonts w:ascii="Times New Roman" w:hAnsi="Times New Roman" w:eastAsia="Times New Roman"/>
          <w:i/>
          <w:color w:val="000000"/>
          <w:sz w:val="24"/>
        </w:rPr>
        <w:t>Annals of the New York Academy of Sciences</w:t>
      </w:r>
      <w:r>
        <w:rPr>
          <w:rFonts w:ascii="Times New Roman" w:hAnsi="Times New Roman" w:eastAsia="Times New Roman"/>
          <w:color w:val="000000"/>
          <w:sz w:val="24"/>
        </w:rPr>
        <w:t xml:space="preserve">, 1135, 185–195. </w:t>
      </w:r>
      <w:hyperlink r:id="rId58">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Haro-González, J. N., Castillo-Herrera, G. A., Martínez-Velázquez, M., &amp; Espinosa-Andrews, H. (2021). Clove essential oil (Syzygium aromaticum L. Myrtaceae): Extraction, chemical composition, food applications, and essential bioactivity for human health.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26(21), 6387. </w:t>
      </w:r>
      <w:hyperlink r:id="rId59">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Hartmann, D. A., &amp; Mohamed, M. (2021). Animal models of primary dysmenorrhea: A comprehensive review.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285, 119955. </w:t>
      </w:r>
      <w:hyperlink r:id="rId60">
        <w:r>
          <w:rPr>
            <w:color w:val="0000FF"/>
            <w:u w:val="single"/>
          </w:rPr>
          <w:t>source</w:t>
        </w:r>
      </w:hyperlink>
    </w:p>
    <w:p>
      <w:pPr>
        <w:spacing w:line="360" w:lineRule="auto" w:after="0"/>
        <w:jc w:val="both"/>
      </w:pPr>
      <w:r>
        <w:rPr>
          <w:rFonts w:ascii="Times New Roman" w:hAnsi="Times New Roman" w:eastAsia="Times New Roman"/>
          <w:color w:val="000000"/>
          <w:sz w:val="24"/>
        </w:rPr>
        <w:t xml:space="preserve">He, J., Liu, J., &amp; Huang, X. (2022). Role of prostaglandins in primary dysmenorrhea: Mechanisms and therapeutic implications.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xml:space="preserve">, 160, 106635. </w:t>
      </w:r>
      <w:hyperlink r:id="rId61">
        <w:r>
          <w:rPr>
            <w:color w:val="0000FF"/>
            <w:u w:val="single"/>
          </w:rPr>
          <w:t>source</w:t>
        </w:r>
      </w:hyperlink>
    </w:p>
    <w:p>
      <w:pPr>
        <w:spacing w:line="360" w:lineRule="auto" w:after="0"/>
        <w:jc w:val="both"/>
      </w:pPr>
      <w:r>
        <w:rPr>
          <w:rFonts w:ascii="Times New Roman" w:hAnsi="Times New Roman" w:eastAsia="Times New Roman"/>
          <w:color w:val="000000"/>
          <w:sz w:val="24"/>
        </w:rPr>
        <w:t xml:space="preserve">Hong, F., He, G., Zhang, M., Yu, B., &amp; Chai, C. (2022). The establishment of a mouse model of recurrent primary dysmenorrhea.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xml:space="preserve">, 23(11), 6128. </w:t>
      </w:r>
      <w:hyperlink r:id="rId62">
        <w:r>
          <w:rPr>
            <w:color w:val="0000FF"/>
            <w:u w:val="single"/>
          </w:rPr>
          <w:t>source</w:t>
        </w:r>
      </w:hyperlink>
    </w:p>
    <w:p>
      <w:pPr>
        <w:spacing w:line="360" w:lineRule="auto" w:after="0"/>
        <w:jc w:val="both"/>
      </w:pPr>
      <w:r>
        <w:rPr>
          <w:rFonts w:ascii="Times New Roman" w:hAnsi="Times New Roman" w:eastAsia="Times New Roman"/>
          <w:color w:val="000000"/>
          <w:sz w:val="24"/>
        </w:rPr>
        <w:t xml:space="preserve">Hosseini, M., Asl, M. K., &amp; Rakhshandeh, H. (2011). Analgesic effect of clove essential oil in mice.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xml:space="preserve">, 1(1), 1–6. </w:t>
      </w:r>
      <w:hyperlink r:id="rId63">
        <w:r>
          <w:rPr>
            <w:color w:val="0000FF"/>
            <w:u w:val="single"/>
          </w:rPr>
          <w:t>source</w:t>
        </w:r>
      </w:hyperlink>
    </w:p>
    <w:p>
      <w:pPr>
        <w:spacing w:line="360" w:lineRule="auto" w:after="0"/>
        <w:jc w:val="both"/>
      </w:pPr>
      <w:r>
        <w:rPr>
          <w:rFonts w:ascii="Times New Roman" w:hAnsi="Times New Roman" w:eastAsia="Times New Roman"/>
          <w:color w:val="000000"/>
          <w:sz w:val="24"/>
        </w:rPr>
        <w:t xml:space="preserve">Iacovides, S., Avidon, I., &amp; Baker, F. C. (2015). What we know about primary dysmenorrhea today: a critical review. </w:t>
      </w:r>
      <w:r>
        <w:rPr>
          <w:rFonts w:ascii="Times New Roman" w:hAnsi="Times New Roman" w:eastAsia="Times New Roman"/>
          <w:i/>
          <w:color w:val="000000"/>
          <w:sz w:val="24"/>
        </w:rPr>
        <w:t>Human Reproduction Update</w:t>
      </w:r>
      <w:r>
        <w:rPr>
          <w:rFonts w:ascii="Times New Roman" w:hAnsi="Times New Roman" w:eastAsia="Times New Roman"/>
          <w:color w:val="000000"/>
          <w:sz w:val="24"/>
        </w:rPr>
        <w:t xml:space="preserve">, 21(6), 762–778. </w:t>
      </w:r>
      <w:hyperlink r:id="rId64">
        <w:r>
          <w:rPr>
            <w:color w:val="0000FF"/>
            <w:u w:val="single"/>
          </w:rPr>
          <w:t>source</w:t>
        </w:r>
      </w:hyperlink>
    </w:p>
    <w:p>
      <w:pPr>
        <w:spacing w:line="360" w:lineRule="auto" w:after="0"/>
        <w:jc w:val="both"/>
      </w:pPr>
      <w:r>
        <w:rPr>
          <w:rFonts w:ascii="Times New Roman" w:hAnsi="Times New Roman" w:eastAsia="Times New Roman"/>
          <w:color w:val="000000"/>
          <w:sz w:val="24"/>
        </w:rPr>
        <w:t xml:space="preserve">Ibrahim, N. A., El-Ghorab, A. H., &amp; Hassan, E. M. (2022). Chemical composition and biological activities of clove (Syzygium aromaticum L.) essential oil.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xml:space="preserve">, 34(4), 321–334. </w:t>
      </w:r>
      <w:hyperlink r:id="rId65">
        <w:r>
          <w:rPr>
            <w:color w:val="0000FF"/>
            <w:u w:val="single"/>
          </w:rPr>
          <w:t>source</w:t>
        </w:r>
      </w:hyperlink>
    </w:p>
    <w:p>
      <w:pPr>
        <w:spacing w:line="360" w:lineRule="auto" w:after="0"/>
        <w:jc w:val="both"/>
      </w:pPr>
      <w:r>
        <w:rPr>
          <w:rFonts w:ascii="Times New Roman" w:hAnsi="Times New Roman" w:eastAsia="Times New Roman"/>
          <w:color w:val="000000"/>
          <w:sz w:val="24"/>
        </w:rPr>
        <w:t xml:space="preserve">Ingram, J. R., &amp; Goddard, J. (2020). The anatomy and physiology of the menstrual cycle. </w:t>
      </w:r>
      <w:r>
        <w:rPr>
          <w:rFonts w:ascii="Times New Roman" w:hAnsi="Times New Roman" w:eastAsia="Times New Roman"/>
          <w:i/>
          <w:color w:val="000000"/>
          <w:sz w:val="24"/>
        </w:rPr>
        <w:t>Obstetrics, Gynaecology &amp; Reproductive Medicine</w:t>
      </w:r>
      <w:r>
        <w:rPr>
          <w:rFonts w:ascii="Times New Roman" w:hAnsi="Times New Roman" w:eastAsia="Times New Roman"/>
          <w:color w:val="000000"/>
          <w:sz w:val="24"/>
        </w:rPr>
        <w:t xml:space="preserve">, 30(8), 243–249. </w:t>
      </w:r>
      <w:hyperlink r:id="rId66">
        <w:r>
          <w:rPr>
            <w:color w:val="0000FF"/>
            <w:u w:val="single"/>
          </w:rPr>
          <w:t>source</w:t>
        </w:r>
      </w:hyperlink>
    </w:p>
    <w:p>
      <w:pPr>
        <w:spacing w:line="360" w:lineRule="auto" w:after="0"/>
        <w:jc w:val="both"/>
      </w:pPr>
      <w:r>
        <w:rPr>
          <w:rFonts w:ascii="Times New Roman" w:hAnsi="Times New Roman" w:eastAsia="Times New Roman"/>
          <w:color w:val="000000"/>
          <w:sz w:val="24"/>
        </w:rPr>
        <w:t xml:space="preserve">Itriyeva, K. (2022). The normal menstrual cycle. </w:t>
      </w:r>
      <w:r>
        <w:rPr>
          <w:rFonts w:ascii="Times New Roman" w:hAnsi="Times New Roman" w:eastAsia="Times New Roman"/>
          <w:i/>
          <w:color w:val="000000"/>
          <w:sz w:val="24"/>
        </w:rPr>
        <w:t>Current Problems in Pediatric and Adolescent Health Care</w:t>
      </w:r>
      <w:r>
        <w:rPr>
          <w:rFonts w:ascii="Times New Roman" w:hAnsi="Times New Roman" w:eastAsia="Times New Roman"/>
          <w:color w:val="000000"/>
          <w:sz w:val="24"/>
        </w:rPr>
        <w:t xml:space="preserve">, 52(5), 101183. </w:t>
      </w:r>
      <w:hyperlink r:id="rId67">
        <w:r>
          <w:rPr>
            <w:color w:val="0000FF"/>
            <w:u w:val="single"/>
          </w:rPr>
          <w:t>source</w:t>
        </w:r>
      </w:hyperlink>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Jalali, M., &amp; Ramezani, M. (2021). Fennel (Foeniculum vulgare) for primary dysmenorrhea: A systematic review and meta-analysis.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28, 100440. </w:t>
      </w:r>
      <w:hyperlink r:id="rId68">
        <w:r>
          <w:rPr>
            <w:color w:val="0000FF"/>
            <w:u w:val="single"/>
          </w:rPr>
          <w:t>source</w:t>
        </w:r>
      </w:hyperlink>
    </w:p>
    <w:p>
      <w:pPr>
        <w:spacing w:line="360" w:lineRule="auto" w:after="0"/>
        <w:jc w:val="both"/>
      </w:pPr>
      <w:r>
        <w:rPr>
          <w:rFonts w:ascii="Times New Roman" w:hAnsi="Times New Roman" w:eastAsia="Times New Roman"/>
          <w:color w:val="000000"/>
          <w:sz w:val="24"/>
        </w:rPr>
        <w:t xml:space="preserve">Jirovetz, L., Buchbauer, G., Stoilova, I., Stoyanova, A., Krastanov, A., &amp; Schmidt, E. (2006). Chemical composition and antioxidant properties of clove leaf essential oil.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54(17), 6303–6307. </w:t>
      </w:r>
      <w:hyperlink r:id="rId69">
        <w:r>
          <w:rPr>
            <w:color w:val="0000FF"/>
            <w:u w:val="single"/>
          </w:rPr>
          <w:t>source</w:t>
        </w:r>
      </w:hyperlink>
    </w:p>
    <w:p>
      <w:pPr>
        <w:spacing w:line="360" w:lineRule="auto" w:after="0"/>
        <w:jc w:val="both"/>
      </w:pPr>
      <w:r>
        <w:rPr>
          <w:rFonts w:ascii="Times New Roman" w:hAnsi="Times New Roman" w:eastAsia="Times New Roman"/>
          <w:color w:val="000000"/>
          <w:sz w:val="24"/>
        </w:rPr>
        <w:t xml:space="preserve">Johannah, N. M., Joseph, D., Maliakel, B., &amp; Krishnakumar, I. M. (2016). Safety assessment of a standardized polyphenolic extract of clove buds: Subchronic toxicity and mutagenicity studies. </w:t>
      </w:r>
      <w:r>
        <w:rPr>
          <w:rFonts w:ascii="Times New Roman" w:hAnsi="Times New Roman" w:eastAsia="Times New Roman"/>
          <w:i/>
          <w:color w:val="000000"/>
          <w:sz w:val="24"/>
        </w:rPr>
        <w:t>Toxicology Reports</w:t>
      </w:r>
      <w:r>
        <w:rPr>
          <w:rFonts w:ascii="Times New Roman" w:hAnsi="Times New Roman" w:eastAsia="Times New Roman"/>
          <w:color w:val="000000"/>
          <w:sz w:val="24"/>
        </w:rPr>
        <w:t xml:space="preserve">, 3, 439–449. </w:t>
      </w:r>
      <w:hyperlink r:id="rId70">
        <w:r>
          <w:rPr>
            <w:color w:val="0000FF"/>
            <w:u w:val="single"/>
          </w:rPr>
          <w:t>source</w:t>
        </w:r>
      </w:hyperlink>
    </w:p>
    <w:p>
      <w:pPr>
        <w:spacing w:line="360" w:lineRule="auto" w:after="0"/>
        <w:jc w:val="both"/>
      </w:pPr>
      <w:r>
        <w:rPr>
          <w:rFonts w:ascii="Times New Roman" w:hAnsi="Times New Roman" w:eastAsia="Times New Roman"/>
          <w:color w:val="000000"/>
          <w:sz w:val="24"/>
        </w:rPr>
        <w:t xml:space="preserve">Ju, H., Jones, M., &amp; Mishra, G. (2014). The prevalence and risk factors of dysmenorrhea. </w:t>
      </w:r>
      <w:r>
        <w:rPr>
          <w:rFonts w:ascii="Times New Roman" w:hAnsi="Times New Roman" w:eastAsia="Times New Roman"/>
          <w:i/>
          <w:color w:val="000000"/>
          <w:sz w:val="24"/>
        </w:rPr>
        <w:t>Epidemiologic Reviews</w:t>
      </w:r>
      <w:r>
        <w:rPr>
          <w:rFonts w:ascii="Times New Roman" w:hAnsi="Times New Roman" w:eastAsia="Times New Roman"/>
          <w:color w:val="000000"/>
          <w:sz w:val="24"/>
        </w:rPr>
        <w:t xml:space="preserve">, 36(1), 104–113. </w:t>
      </w:r>
      <w:hyperlink r:id="rId71">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Kamat, K. G., &amp; Gaonkar, S. G. (2023). Pharmacodynamic, pharmacokinetic, toxicity, and recent advances in eugenol's potential benefits against natural and chemical noxious agents: A mechanistic review. </w:t>
      </w:r>
      <w:r>
        <w:rPr>
          <w:rFonts w:ascii="Times New Roman" w:hAnsi="Times New Roman" w:eastAsia="Times New Roman"/>
          <w:i/>
          <w:color w:val="000000"/>
          <w:sz w:val="24"/>
        </w:rPr>
        <w:t>Toxicology</w:t>
      </w:r>
      <w:r>
        <w:rPr>
          <w:rFonts w:ascii="Times New Roman" w:hAnsi="Times New Roman" w:eastAsia="Times New Roman"/>
          <w:color w:val="000000"/>
          <w:sz w:val="24"/>
        </w:rPr>
        <w:t xml:space="preserve">, 501, 153442. </w:t>
      </w:r>
      <w:hyperlink r:id="rId72">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Kamatou, G. P. P., Vermaak, I., &amp; Viljoen, A. M. (2012). Eugenol—from the remote Maluku Islands to the international market place: A review of a remarkable and versatile molecule.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17(6), 6953–6981. </w:t>
      </w:r>
      <w:hyperlink r:id="rId73">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Kamkar Asl, M., Nazariborun, A., &amp; Hosseini, M. (2013). Analgesic effect of the aqueous and ethanolic extracts of clove.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xml:space="preserve">, 3(2), 186–192. </w:t>
      </w:r>
      <w:hyperlink r:id="rId74">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Kannan, A., &amp; Devi, S. (2022). Protective effect of eugenol against various toxicities: A review. </w:t>
      </w:r>
      <w:r>
        <w:rPr>
          <w:rFonts w:ascii="Times New Roman" w:hAnsi="Times New Roman" w:eastAsia="Times New Roman"/>
          <w:i/>
          <w:color w:val="000000"/>
          <w:sz w:val="24"/>
        </w:rPr>
        <w:t>Toxicology Mechanisms and Methods</w:t>
      </w:r>
      <w:r>
        <w:rPr>
          <w:rFonts w:ascii="Times New Roman" w:hAnsi="Times New Roman" w:eastAsia="Times New Roman"/>
          <w:color w:val="000000"/>
          <w:sz w:val="24"/>
        </w:rPr>
        <w:t xml:space="preserve">, 32(4), 243–256. </w:t>
      </w:r>
      <w:hyperlink r:id="rId75">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Karabacak, M., &amp; Sener, B. (2021). Traditional uses, phytochemistry, and pharmacology of Syzygium aromaticum (clove): A review.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272, 113939. </w:t>
      </w:r>
      <w:hyperlink r:id="rId76">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Kaur, G., &amp; Kaushal, S. (2019). Phytochemistry and pharmacological aspects of Syzygium aromaticum: A review. </w:t>
      </w:r>
      <w:r>
        <w:rPr>
          <w:rFonts w:ascii="Times New Roman" w:hAnsi="Times New Roman" w:eastAsia="Times New Roman"/>
          <w:i/>
          <w:color w:val="000000"/>
          <w:sz w:val="24"/>
        </w:rPr>
        <w:t>Journal of Pharmacognosy and Phytochemistry</w:t>
      </w:r>
      <w:r>
        <w:rPr>
          <w:rFonts w:ascii="Times New Roman" w:hAnsi="Times New Roman" w:eastAsia="Times New Roman"/>
          <w:color w:val="000000"/>
          <w:sz w:val="24"/>
        </w:rPr>
        <w:t xml:space="preserve">, 8(1), 398–406. </w:t>
      </w:r>
      <w:hyperlink r:id="rId77">
        <w:r>
          <w:rPr>
            <w:color w:val="0000FF"/>
            <w:u w:val="single"/>
          </w:rPr>
          <w:t>source</w:t>
        </w:r>
      </w:hyperlink>
    </w:p>
    <w:p>
      <w:pPr>
        <w:spacing w:line="360" w:lineRule="auto" w:after="0"/>
        <w:jc w:val="both"/>
      </w:pPr>
      <w:r>
        <w:rPr>
          <w:rFonts w:ascii="Times New Roman" w:hAnsi="Times New Roman" w:eastAsia="Times New Roman"/>
          <w:color w:val="000000"/>
          <w:sz w:val="24"/>
        </w:rPr>
        <w:t xml:space="preserve">Khan, M. S. A., &amp; Ahmad, I. (2021). Clove (Syzygium aromaticum L.): A systematic review of its traditional uses, phytochemistry, and pharmacology.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28, 100438. </w:t>
      </w:r>
      <w:hyperlink r:id="rId78">
        <w:r>
          <w:rPr>
            <w:color w:val="0000FF"/>
            <w:u w:val="single"/>
          </w:rPr>
          <w:t>source</w:t>
        </w:r>
      </w:hyperlink>
    </w:p>
    <w:p>
      <w:pPr>
        <w:spacing w:line="360" w:lineRule="auto" w:after="0"/>
        <w:jc w:val="both"/>
      </w:pPr>
      <w:r>
        <w:rPr>
          <w:rFonts w:ascii="Times New Roman" w:hAnsi="Times New Roman" w:eastAsia="Times New Roman"/>
          <w:color w:val="000000"/>
          <w:sz w:val="24"/>
        </w:rPr>
        <w:t xml:space="preserve">Kim, S. S., Oh, O. J., Min, H. Y., Park, E. J., Kim, Y., Park, H. J., Nam Han, Y., &amp; Lee, S. K. (2003). Eugenol suppresses cyclooxygenase-2 expression in lipopolysaccharide-stimulated mouse macrophage RAW264.7 cells.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73(3), 337–348. </w:t>
      </w:r>
      <w:hyperlink r:id="rId79">
        <w:r>
          <w:rPr>
            <w:color w:val="0000FF"/>
            <w:u w:val="single"/>
          </w:rPr>
          <w:t>source</w:t>
        </w:r>
      </w:hyperlink>
      <w:r>
        <w:rPr>
          <w:rFonts w:ascii="Times New Roman" w:hAnsi="Times New Roman" w:eastAsia="Times New Roman"/>
          <w:color w:val="000000"/>
          <w:sz w:val="24"/>
        </w:rPr>
        <w:t>00288-1)</w:t>
      </w:r>
    </w:p>
    <w:p>
      <w:pPr>
        <w:spacing w:line="360" w:lineRule="auto" w:after="0"/>
        <w:jc w:val="both"/>
      </w:pPr>
      <w:r>
        <w:rPr>
          <w:rFonts w:ascii="Times New Roman" w:hAnsi="Times New Roman" w:eastAsia="Times New Roman"/>
          <w:color w:val="000000"/>
          <w:sz w:val="24"/>
        </w:rPr>
        <w:t xml:space="preserve">Ko, I. G., Kim, S. E., Kim, C. J., &amp; Kim, K. H. (2021). Effects of eugenol on pain-related behaviors and neuroinflammation in a mouse model of chronic pain.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xml:space="preserve">, 22(16), 8765. </w:t>
      </w:r>
      <w:hyperlink r:id="rId80">
        <w:r>
          <w:rPr>
            <w:color w:val="0000FF"/>
            <w:u w:val="single"/>
          </w:rPr>
          <w:t>source</w:t>
        </w:r>
      </w:hyperlink>
    </w:p>
    <w:p>
      <w:pPr>
        <w:spacing w:line="360" w:lineRule="auto" w:after="0"/>
        <w:jc w:val="both"/>
      </w:pPr>
      <w:r>
        <w:rPr>
          <w:rFonts w:ascii="Times New Roman" w:hAnsi="Times New Roman" w:eastAsia="Times New Roman"/>
          <w:color w:val="000000"/>
          <w:sz w:val="24"/>
        </w:rPr>
        <w:t xml:space="preserve">Kong, E. H., Kim, H. W., &amp; Kim, S. (2021). Non-pharmacological interventions for primary dysmenorrhea: A systematic review and meta-analysis. </w:t>
      </w:r>
      <w:r>
        <w:rPr>
          <w:rFonts w:ascii="Times New Roman" w:hAnsi="Times New Roman" w:eastAsia="Times New Roman"/>
          <w:i/>
          <w:color w:val="000000"/>
          <w:sz w:val="24"/>
        </w:rPr>
        <w:t>Journal of Women's Health</w:t>
      </w:r>
      <w:r>
        <w:rPr>
          <w:rFonts w:ascii="Times New Roman" w:hAnsi="Times New Roman" w:eastAsia="Times New Roman"/>
          <w:color w:val="000000"/>
          <w:sz w:val="24"/>
        </w:rPr>
        <w:t xml:space="preserve">, 30(8), 1131–1142. </w:t>
      </w:r>
      <w:hyperlink r:id="rId81">
        <w:r>
          <w:rPr>
            <w:color w:val="0000FF"/>
            <w:u w:val="single"/>
          </w:rPr>
          <w:t>source</w:t>
        </w:r>
      </w:hyperlink>
    </w:p>
    <w:p>
      <w:pPr>
        <w:spacing w:line="360" w:lineRule="auto" w:after="0"/>
        <w:jc w:val="both"/>
      </w:pPr>
      <w:r>
        <w:rPr>
          <w:rFonts w:ascii="Times New Roman" w:hAnsi="Times New Roman" w:eastAsia="Times New Roman"/>
          <w:color w:val="000000"/>
          <w:sz w:val="24"/>
        </w:rPr>
        <w:t xml:space="preserve">Kressel, I. B., &amp; Lee, H. O. (2022). Eugenol as a local anesthetic: Mechanisms and clinical applications.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xml:space="preserve">, 101(3), 259–266. </w:t>
      </w:r>
      <w:hyperlink r:id="rId82">
        <w:r>
          <w:rPr>
            <w:color w:val="0000FF"/>
            <w:u w:val="single"/>
          </w:rPr>
          <w:t>source</w:t>
        </w:r>
      </w:hyperlink>
    </w:p>
    <w:p>
      <w:pPr>
        <w:spacing w:line="360" w:lineRule="auto" w:after="0"/>
        <w:jc w:val="both"/>
      </w:pPr>
      <w:r>
        <w:rPr>
          <w:rFonts w:ascii="Times New Roman" w:hAnsi="Times New Roman" w:eastAsia="Times New Roman"/>
          <w:color w:val="000000"/>
          <w:sz w:val="24"/>
        </w:rPr>
        <w:t xml:space="preserve">Kumar, V., Mishra, D., Joshi, M. C., Mishra, P., &amp; Tanwar, M. (2021). Syzygium aromaticum: Medicinal properties and phytochemical screening. In </w:t>
      </w:r>
      <w:r>
        <w:rPr>
          <w:rFonts w:ascii="Times New Roman" w:hAnsi="Times New Roman" w:eastAsia="Times New Roman"/>
          <w:i/>
          <w:color w:val="000000"/>
          <w:sz w:val="24"/>
        </w:rPr>
        <w:t>Herbs and Spices—New Processing Technologies</w:t>
      </w:r>
      <w:r>
        <w:rPr>
          <w:rFonts w:ascii="Times New Roman" w:hAnsi="Times New Roman" w:eastAsia="Times New Roman"/>
          <w:color w:val="000000"/>
          <w:sz w:val="24"/>
        </w:rPr>
        <w:t xml:space="preserve">. IntechOpen. </w:t>
      </w:r>
      <w:hyperlink r:id="rId83">
        <w:r>
          <w:rPr>
            <w:color w:val="0000FF"/>
            <w:u w:val="single"/>
          </w:rPr>
          <w:t>source</w:t>
        </w:r>
      </w:hyperlink>
    </w:p>
    <w:p>
      <w:pPr>
        <w:spacing w:line="360" w:lineRule="auto" w:after="0"/>
        <w:jc w:val="both"/>
      </w:pPr>
      <w:r>
        <w:rPr>
          <w:rFonts w:ascii="Times New Roman" w:hAnsi="Times New Roman" w:eastAsia="Times New Roman"/>
          <w:color w:val="000000"/>
          <w:sz w:val="24"/>
        </w:rPr>
        <w:t xml:space="preserve">Kurian, R., Arulmozhi, D. K., Veeranjaneyulu, A., &amp; Bodhankar, S. L. (2006). Effect of eugenol on animal models of nociception. </w:t>
      </w:r>
      <w:r>
        <w:rPr>
          <w:rFonts w:ascii="Times New Roman" w:hAnsi="Times New Roman" w:eastAsia="Times New Roman"/>
          <w:i/>
          <w:color w:val="000000"/>
          <w:sz w:val="24"/>
        </w:rPr>
        <w:t>Indian Journal of Pharmacology</w:t>
      </w:r>
      <w:r>
        <w:rPr>
          <w:rFonts w:ascii="Times New Roman" w:hAnsi="Times New Roman" w:eastAsia="Times New Roman"/>
          <w:color w:val="000000"/>
          <w:sz w:val="24"/>
        </w:rPr>
        <w:t xml:space="preserve">, 38(5), 341–345. </w:t>
      </w:r>
      <w:hyperlink r:id="rId84">
        <w:r>
          <w:rPr>
            <w:color w:val="0000FF"/>
            <w:u w:val="single"/>
          </w:rPr>
          <w:t>source</w:t>
        </w:r>
      </w:hyperlink>
    </w:p>
    <w:p>
      <w:pPr>
        <w:spacing w:line="360" w:lineRule="auto" w:after="0"/>
        <w:jc w:val="both"/>
      </w:pPr>
      <w:r>
        <w:rPr>
          <w:rFonts w:ascii="Times New Roman" w:hAnsi="Times New Roman" w:eastAsia="Times New Roman"/>
          <w:color w:val="000000"/>
          <w:sz w:val="24"/>
        </w:rPr>
        <w:t xml:space="preserve">Kędzia, A., Ziółkowska-Klinkosz, M., Lassmann, Ł., Kochańska, B., Kusiak, A., Gębska, A., &amp; Wojtaszek-Słomińska, A. (2014). Antifungal activity of clove oil (Oleum caryophylli). </w:t>
      </w:r>
      <w:r>
        <w:rPr>
          <w:rFonts w:ascii="Times New Roman" w:hAnsi="Times New Roman" w:eastAsia="Times New Roman"/>
          <w:i/>
          <w:color w:val="000000"/>
          <w:sz w:val="24"/>
        </w:rPr>
        <w:t>Postępy Fitoterapii</w:t>
      </w:r>
      <w:r>
        <w:rPr>
          <w:rFonts w:ascii="Times New Roman" w:hAnsi="Times New Roman" w:eastAsia="Times New Roman"/>
          <w:color w:val="000000"/>
          <w:sz w:val="24"/>
        </w:rPr>
        <w:t xml:space="preserve">, 15(1), 15–18. </w:t>
      </w:r>
      <w:hyperlink r:id="rId85">
        <w:r>
          <w:rPr>
            <w:color w:val="0000FF"/>
            <w:u w:val="single"/>
          </w:rPr>
          <w:t>source</w:t>
        </w:r>
      </w:hyperlink>
    </w:p>
    <w:p>
      <w:pPr>
        <w:spacing w:line="360" w:lineRule="auto" w:after="0"/>
        <w:jc w:val="both"/>
      </w:pPr>
      <w:r>
        <w:rPr>
          <w:rFonts w:ascii="Times New Roman" w:hAnsi="Times New Roman" w:eastAsia="Times New Roman"/>
          <w:color w:val="000000"/>
          <w:sz w:val="24"/>
        </w:rPr>
        <w:t xml:space="preserve">Lakshmi, T., &amp; Geetha, R. V. (2021). Pharmacological and toxicological evaluation of Syzygium aromaticum: A review. </w:t>
      </w:r>
      <w:r>
        <w:rPr>
          <w:rFonts w:ascii="Times New Roman" w:hAnsi="Times New Roman" w:eastAsia="Times New Roman"/>
          <w:i/>
          <w:color w:val="000000"/>
          <w:sz w:val="24"/>
        </w:rPr>
        <w:t>Journal of Pharmacy and Pharmaceutical Sciences</w:t>
      </w:r>
      <w:r>
        <w:rPr>
          <w:rFonts w:ascii="Times New Roman" w:hAnsi="Times New Roman" w:eastAsia="Times New Roman"/>
          <w:color w:val="000000"/>
          <w:sz w:val="24"/>
        </w:rPr>
        <w:t xml:space="preserve">, 24, 112–125. </w:t>
      </w:r>
      <w:hyperlink r:id="rId86">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Leal-Cardoso, J. H., Fonteles, M. C., &amp; Coelho-de-Souza, A. N. (2007). Pharmacological effects of essential oils of plants of the northeast of Brazil. </w:t>
      </w:r>
      <w:r>
        <w:rPr>
          <w:rFonts w:ascii="Times New Roman" w:hAnsi="Times New Roman" w:eastAsia="Times New Roman"/>
          <w:i/>
          <w:color w:val="000000"/>
          <w:sz w:val="24"/>
        </w:rPr>
        <w:t>Anais da Academia Brasileira de Ciências</w:t>
      </w:r>
      <w:r>
        <w:rPr>
          <w:rFonts w:ascii="Times New Roman" w:hAnsi="Times New Roman" w:eastAsia="Times New Roman"/>
          <w:color w:val="000000"/>
          <w:sz w:val="24"/>
        </w:rPr>
        <w:t xml:space="preserve">, 79(2), 245–254. </w:t>
      </w:r>
      <w:hyperlink r:id="rId87">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B., Kim, J., &amp; Lee, H. W. (2020). Fennel for reducing pain in primary dysmenorrhea: A systematic review and meta-analysis of randomized controlled trials. </w:t>
      </w:r>
      <w:r>
        <w:rPr>
          <w:rFonts w:ascii="Times New Roman" w:hAnsi="Times New Roman" w:eastAsia="Times New Roman"/>
          <w:i/>
          <w:color w:val="000000"/>
          <w:sz w:val="24"/>
        </w:rPr>
        <w:t>Nutrients</w:t>
      </w:r>
      <w:r>
        <w:rPr>
          <w:rFonts w:ascii="Times New Roman" w:hAnsi="Times New Roman" w:eastAsia="Times New Roman"/>
          <w:color w:val="000000"/>
          <w:sz w:val="24"/>
        </w:rPr>
        <w:t xml:space="preserve">, 12(11), 3438. </w:t>
      </w:r>
      <w:hyperlink r:id="rId88">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H. W., Jun, J. H., &amp; Lee, M. S. (2016). Herbal medicine (Danggui Shaoyao San)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xml:space="preserve">, 85, 19–26. </w:t>
      </w:r>
      <w:hyperlink r:id="rId89">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H. W., Jun, J. H., &amp; Lee, M. S. (2020). Dangguijagyag-san for primary dysmenorrhea: A PRISMA-compliant systematic review and meta-analysis of randomized-controlled trials. </w:t>
      </w:r>
      <w:r>
        <w:rPr>
          <w:rFonts w:ascii="Times New Roman" w:hAnsi="Times New Roman" w:eastAsia="Times New Roman"/>
          <w:i/>
          <w:color w:val="000000"/>
          <w:sz w:val="24"/>
        </w:rPr>
        <w:t>Medicine</w:t>
      </w:r>
      <w:r>
        <w:rPr>
          <w:rFonts w:ascii="Times New Roman" w:hAnsi="Times New Roman" w:eastAsia="Times New Roman"/>
          <w:color w:val="000000"/>
          <w:sz w:val="24"/>
        </w:rPr>
        <w:t xml:space="preserve">, 99(41), e22592. </w:t>
      </w:r>
      <w:hyperlink r:id="rId90">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J., &amp; Park, S. (2022). Mechanisms of smooth muscle contraction and relaxation: Implications for dysmenorrhea. </w:t>
      </w:r>
      <w:r>
        <w:rPr>
          <w:rFonts w:ascii="Times New Roman" w:hAnsi="Times New Roman" w:eastAsia="Times New Roman"/>
          <w:i/>
          <w:color w:val="000000"/>
          <w:sz w:val="24"/>
        </w:rPr>
        <w:t>Reviews of Physiology, Biochemistry and Pharmacology</w:t>
      </w:r>
      <w:r>
        <w:rPr>
          <w:rFonts w:ascii="Times New Roman" w:hAnsi="Times New Roman" w:eastAsia="Times New Roman"/>
          <w:color w:val="000000"/>
          <w:sz w:val="24"/>
        </w:rPr>
        <w:t xml:space="preserve">, 182, 51–78. </w:t>
      </w:r>
      <w:hyperlink r:id="rId91">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M. H., Yeon, K. Y., &amp; Park, C. K. (2008). Modulation of CaV2.3 calcium channel currents by eugenol.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xml:space="preserve">, 87(2), 137–141. </w:t>
      </w:r>
      <w:hyperlink r:id="rId92">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S. K., Kim, S. D., &amp; Park, S. (2024). Effect of eugenol on detrusor muscle: Potential for overactive bladder treatment. </w:t>
      </w:r>
      <w:r>
        <w:rPr>
          <w:rFonts w:ascii="Times New Roman" w:hAnsi="Times New Roman" w:eastAsia="Times New Roman"/>
          <w:i/>
          <w:color w:val="000000"/>
          <w:sz w:val="24"/>
        </w:rPr>
        <w:t>Ewha Medical Journal</w:t>
      </w:r>
      <w:r>
        <w:rPr>
          <w:rFonts w:ascii="Times New Roman" w:hAnsi="Times New Roman" w:eastAsia="Times New Roman"/>
          <w:color w:val="000000"/>
          <w:sz w:val="24"/>
        </w:rPr>
        <w:t xml:space="preserve">, 47(4), e1139. </w:t>
      </w:r>
      <w:hyperlink r:id="rId93">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Lestariningsih, S., Tamtomo, D. G., Sulistyowati, S., Indarto, D., &amp; Subadi, I. (2024). Three models of primary dysmenorrhea via estradiol benzoate and oxytocin induction: An experimental study. </w:t>
      </w:r>
      <w:r>
        <w:rPr>
          <w:rFonts w:ascii="Times New Roman" w:hAnsi="Times New Roman" w:eastAsia="Times New Roman"/>
          <w:i/>
          <w:color w:val="000000"/>
          <w:sz w:val="24"/>
        </w:rPr>
        <w:t>Rawal Medical Journal</w:t>
      </w:r>
      <w:r>
        <w:rPr>
          <w:rFonts w:ascii="Times New Roman" w:hAnsi="Times New Roman" w:eastAsia="Times New Roman"/>
          <w:color w:val="000000"/>
          <w:sz w:val="24"/>
        </w:rPr>
        <w:t xml:space="preserve">, 49(1), 176–180. </w:t>
      </w:r>
      <w:hyperlink r:id="rId94">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G., Liu, A., Lin, M., Liao, S., &amp; Wen, Z. (2020). Chinese herbal formula siwutang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xml:space="preserve">, 138, 26–35. </w:t>
      </w:r>
      <w:hyperlink r:id="rId95">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Q., &amp; Wang, S. (2023). Progress in the understanding of primary dysmenorrhea: From pathophysiology to treatment.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xml:space="preserve">, 16, 1223–1236. </w:t>
      </w:r>
      <w:hyperlink r:id="rId96">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R., Li, B., Ma, Z., et al. (2022). Prevalence and Risk Factors of Primary Dysmenorrhea in Students: A Meta-Analysis.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35(6), 661–668. </w:t>
      </w:r>
      <w:hyperlink r:id="rId97">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W., Tsubouchi, R., Qiao, S., Haneda, M., Murakami, K., &amp; Yoshino, M. (2006). Inhibitory action of eugenol compounds on the production of nitric oxide in RAW264.7 macrophages. </w:t>
      </w:r>
      <w:r>
        <w:rPr>
          <w:rFonts w:ascii="Times New Roman" w:hAnsi="Times New Roman" w:eastAsia="Times New Roman"/>
          <w:i/>
          <w:color w:val="000000"/>
          <w:sz w:val="24"/>
        </w:rPr>
        <w:t>Biomedical Research</w:t>
      </w:r>
      <w:r>
        <w:rPr>
          <w:rFonts w:ascii="Times New Roman" w:hAnsi="Times New Roman" w:eastAsia="Times New Roman"/>
          <w:color w:val="000000"/>
          <w:sz w:val="24"/>
        </w:rPr>
        <w:t xml:space="preserve">, 27(2), 69–74. </w:t>
      </w:r>
      <w:hyperlink r:id="rId98">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Y., Liu, Z., Zeng, M., El Kadiri, A., Huang, J., Kim, A., He, X., Sun, J., Chen, P., Wang, T. T., Zhang, Y., Gao, B., Xie, Z., &amp; Yu, L. (2022). Chemical compositions of clove (Syzygium aromaticum (L.) Merr. &amp; L.) extracts and their potentials in suppressing SARS-CoV-2 spike protein-ACE2 binding, inhibiting ACE2, and scavenging free radicals.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70(45), 14403–14413. </w:t>
      </w:r>
      <w:hyperlink r:id="rId99">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Liedman, R., Hansson, S. R., Howe, D., Igidbashian, S., Russell, R. J., &amp; Åkerlund, M. (2008). Endometrial expression of vasopressin, oxytocin and their receptors in patients with primary dysmenorrhoea and healthy volunteers at ovulation. </w:t>
      </w:r>
      <w:r>
        <w:rPr>
          <w:rFonts w:ascii="Times New Roman" w:hAnsi="Times New Roman" w:eastAsia="Times New Roman"/>
          <w:i/>
          <w:color w:val="000000"/>
          <w:sz w:val="24"/>
        </w:rPr>
        <w:t>European Journal of Obstetrics, Gynecology, and Reproductive Biology</w:t>
      </w:r>
      <w:r>
        <w:rPr>
          <w:rFonts w:ascii="Times New Roman" w:hAnsi="Times New Roman" w:eastAsia="Times New Roman"/>
          <w:color w:val="000000"/>
          <w:sz w:val="24"/>
        </w:rPr>
        <w:t xml:space="preserve">, 137(2), 189–192. </w:t>
      </w:r>
      <w:hyperlink r:id="rId100">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Liu, Y., &amp; Chen, X. (2020). Oxytocin-induced writhing test: A classic model for evaluating analgesic activity.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105, 106810. </w:t>
      </w:r>
      <w:hyperlink r:id="rId101">
        <w:r>
          <w:rPr>
            <w:color w:val="0000FF"/>
            <w:u w:val="single"/>
          </w:rPr>
          <w:t>source</w:t>
        </w:r>
      </w:hyperlink>
    </w:p>
    <w:p>
      <w:pPr>
        <w:spacing w:line="360" w:lineRule="auto" w:after="0"/>
        <w:jc w:val="both"/>
      </w:pPr>
      <w:r>
        <w:rPr>
          <w:rFonts w:ascii="Times New Roman" w:hAnsi="Times New Roman" w:eastAsia="Times New Roman"/>
          <w:color w:val="000000"/>
          <w:sz w:val="24"/>
        </w:rPr>
        <w:t xml:space="preserve">Lopresti, A. L., Smith, S. J., &amp; Ferdinands, F. R. (2025). An examination into the safety and efficacy of Khapregesic, a Khaya senegalensis preparation, on women experiencing menstrual pain and menstrual distress: A randomized, double-blind, placebo-controlled trial. </w:t>
      </w:r>
      <w:r>
        <w:rPr>
          <w:rFonts w:ascii="Times New Roman" w:hAnsi="Times New Roman" w:eastAsia="Times New Roman"/>
          <w:i/>
          <w:color w:val="000000"/>
          <w:sz w:val="24"/>
        </w:rPr>
        <w:t>International Journal of Women's Health</w:t>
      </w:r>
      <w:r>
        <w:rPr>
          <w:rFonts w:ascii="Times New Roman" w:hAnsi="Times New Roman" w:eastAsia="Times New Roman"/>
          <w:color w:val="000000"/>
          <w:sz w:val="24"/>
        </w:rPr>
        <w:t xml:space="preserve">, 17, 2025–2038. </w:t>
      </w:r>
      <w:hyperlink r:id="rId102">
        <w:r>
          <w:rPr>
            <w:color w:val="0000FF"/>
            <w:u w:val="single"/>
          </w:rPr>
          <w:t>source</w:t>
        </w:r>
      </w:hyperlink>
    </w:p>
    <w:p>
      <w:pPr>
        <w:spacing w:line="360" w:lineRule="auto" w:after="0"/>
        <w:jc w:val="both"/>
      </w:pPr>
      <w:r>
        <w:rPr>
          <w:rFonts w:ascii="Times New Roman" w:hAnsi="Times New Roman" w:eastAsia="Times New Roman"/>
          <w:color w:val="000000"/>
          <w:sz w:val="24"/>
        </w:rPr>
        <w:t xml:space="preserve">Lughmani, K. A., &amp; Sultana, N. (2017). Safety assessment and potential anti-inflammatory effect of ethanolic extract of Syzygium aromaticum in albino rats. </w:t>
      </w:r>
      <w:r>
        <w:rPr>
          <w:rFonts w:ascii="Times New Roman" w:hAnsi="Times New Roman" w:eastAsia="Times New Roman"/>
          <w:i/>
          <w:color w:val="000000"/>
          <w:sz w:val="24"/>
        </w:rPr>
        <w:t>Journal of Biosciences and Medicines</w:t>
      </w:r>
      <w:r>
        <w:rPr>
          <w:rFonts w:ascii="Times New Roman" w:hAnsi="Times New Roman" w:eastAsia="Times New Roman"/>
          <w:color w:val="000000"/>
          <w:sz w:val="24"/>
        </w:rPr>
        <w:t xml:space="preserve">, 5(11), 60–72. </w:t>
      </w:r>
      <w:hyperlink r:id="rId103">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 Y. N., &amp; Li, X. Y. (2022). Estradiol benzoate-sensitized oxytocin-induced mouse writhing model for primary dysmenorrhea. </w:t>
      </w:r>
      <w:r>
        <w:rPr>
          <w:rFonts w:ascii="Times New Roman" w:hAnsi="Times New Roman" w:eastAsia="Times New Roman"/>
          <w:i/>
          <w:color w:val="000000"/>
          <w:sz w:val="24"/>
        </w:rPr>
        <w:t>Journal of Visualized Experiments</w:t>
      </w:r>
      <w:r>
        <w:rPr>
          <w:rFonts w:ascii="Times New Roman" w:hAnsi="Times New Roman" w:eastAsia="Times New Roman"/>
          <w:color w:val="000000"/>
          <w:sz w:val="24"/>
        </w:rPr>
        <w:t xml:space="preserve">, 180, e63511. </w:t>
      </w:r>
      <w:hyperlink r:id="rId104">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Madhavi, M., &amp; Rao, M. V. (2022). Acute oral toxicity studies of herbal extracts: Methods and interpretation. </w:t>
      </w:r>
      <w:r>
        <w:rPr>
          <w:rFonts w:ascii="Times New Roman" w:hAnsi="Times New Roman" w:eastAsia="Times New Roman"/>
          <w:i/>
          <w:color w:val="000000"/>
          <w:sz w:val="24"/>
        </w:rPr>
        <w:t>Journal of Applied Toxicology</w:t>
      </w:r>
      <w:r>
        <w:rPr>
          <w:rFonts w:ascii="Times New Roman" w:hAnsi="Times New Roman" w:eastAsia="Times New Roman"/>
          <w:color w:val="000000"/>
          <w:sz w:val="24"/>
        </w:rPr>
        <w:t xml:space="preserve">, 42(3), 378–390. </w:t>
      </w:r>
      <w:hyperlink r:id="rId105">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Magalhães, C. B., Riva, D. R., &amp; DePaula, L. J. (2010). Eugenol attenuates lung injury by inhibiting leukocyte recruitment and NF-κB activation.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648(1–3), 110–117. </w:t>
      </w:r>
      <w:hyperlink r:id="rId106">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Marinković, V., &amp; Radović, M. (2021). Clove oil as a natural preservative: Chemical composition and antimicrobial properties. </w:t>
      </w:r>
      <w:r>
        <w:rPr>
          <w:rFonts w:ascii="Times New Roman" w:hAnsi="Times New Roman" w:eastAsia="Times New Roman"/>
          <w:i/>
          <w:color w:val="000000"/>
          <w:sz w:val="24"/>
        </w:rPr>
        <w:t>Food Control</w:t>
      </w:r>
      <w:r>
        <w:rPr>
          <w:rFonts w:ascii="Times New Roman" w:hAnsi="Times New Roman" w:eastAsia="Times New Roman"/>
          <w:color w:val="000000"/>
          <w:sz w:val="24"/>
        </w:rPr>
        <w:t xml:space="preserve">, 128, 108190. </w:t>
      </w:r>
      <w:hyperlink r:id="rId107">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Marjoribanks, J., Ayeleke, R. O., Farquhar, C., &amp; Proctor, M. (2015). Nonsteroidal anti-inflammatory drugs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(7), CD001751. </w:t>
      </w:r>
      <w:hyperlink r:id="rId108">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Markov, S. L., &amp; Miladinović, D. L. (2020). Chemical composition and antimicrobial activity of clove essential oil from different origins.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23(5), 1039–1051. </w:t>
      </w:r>
      <w:hyperlink r:id="rId109">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Mishra, R. K., &amp; Singh, S. K. (2008). Safety assessment of Syzygium aromaticum flower bud (clove) extract with respect to testicular function in mice. </w:t>
      </w:r>
      <w:r>
        <w:rPr>
          <w:rFonts w:ascii="Times New Roman" w:hAnsi="Times New Roman" w:eastAsia="Times New Roman"/>
          <w:i/>
          <w:color w:val="000000"/>
          <w:sz w:val="24"/>
        </w:rPr>
        <w:t>Food and Chemical Toxicology</w:t>
      </w:r>
      <w:r>
        <w:rPr>
          <w:rFonts w:ascii="Times New Roman" w:hAnsi="Times New Roman" w:eastAsia="Times New Roman"/>
          <w:color w:val="000000"/>
          <w:sz w:val="24"/>
        </w:rPr>
        <w:t xml:space="preserve">, 46(10), 3333–3338. </w:t>
      </w:r>
      <w:hyperlink r:id="rId110">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Mittal, M., Gupta, N., Parashar, P., Mehra, V., &amp; Khatri, M. (2014). Phytochemical evaluation and pharmacological activity of Syzygium aromaticum: A comprehensive review. </w:t>
      </w:r>
      <w:r>
        <w:rPr>
          <w:rFonts w:ascii="Times New Roman" w:hAnsi="Times New Roman" w:eastAsia="Times New Roman"/>
          <w:i/>
          <w:color w:val="000000"/>
          <w:sz w:val="24"/>
        </w:rPr>
        <w:t>International Journal of Pharmacy and Pharmaceutical Sciences</w:t>
      </w:r>
      <w:r>
        <w:rPr>
          <w:rFonts w:ascii="Times New Roman" w:hAnsi="Times New Roman" w:eastAsia="Times New Roman"/>
          <w:color w:val="000000"/>
          <w:sz w:val="24"/>
        </w:rPr>
        <w:t xml:space="preserve">, 6(8), 67–72. </w:t>
      </w:r>
      <w:hyperlink r:id="rId111">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Mitton, K. P., &amp; Grahame-Smith, D. G. (2002). The effects of eugenol on platelet aggregation and arachidonic acid metabolism.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xml:space="preserve">, 136(4), 581–586. </w:t>
      </w:r>
      <w:hyperlink r:id="rId112">
        <w:r>
          <w:rPr>
            <w:color w:val="0000FF"/>
            <w:u w:val="single"/>
          </w:rPr>
          <w:t>source</w:t>
        </w:r>
      </w:hyperlink>
    </w:p>
    <w:p>
      <w:pPr>
        <w:spacing w:line="360" w:lineRule="auto" w:after="0"/>
        <w:jc w:val="both"/>
      </w:pPr>
      <w:r>
        <w:rPr>
          <w:rFonts w:ascii="Times New Roman" w:hAnsi="Times New Roman" w:eastAsia="Times New Roman"/>
          <w:color w:val="000000"/>
          <w:sz w:val="24"/>
        </w:rPr>
        <w:t xml:space="preserve">Mohammadi, A., &amp; Jafari, S. M. (2022). Eugenol: A promising bioactive compound with multiple health benefits. </w:t>
      </w:r>
      <w:r>
        <w:rPr>
          <w:rFonts w:ascii="Times New Roman" w:hAnsi="Times New Roman" w:eastAsia="Times New Roman"/>
          <w:i/>
          <w:color w:val="000000"/>
          <w:sz w:val="24"/>
        </w:rPr>
        <w:t>Critical Reviews in Food Science and Nutrition</w:t>
      </w:r>
      <w:r>
        <w:rPr>
          <w:rFonts w:ascii="Times New Roman" w:hAnsi="Times New Roman" w:eastAsia="Times New Roman"/>
          <w:color w:val="000000"/>
          <w:sz w:val="24"/>
        </w:rPr>
        <w:t xml:space="preserve">, 62(18), 4907–4929. </w:t>
      </w:r>
      <w:hyperlink r:id="rId113">
        <w:r>
          <w:rPr>
            <w:color w:val="0000FF"/>
            <w:u w:val="single"/>
          </w:rPr>
          <w:t>source</w:t>
        </w:r>
      </w:hyperlink>
    </w:p>
    <w:p>
      <w:pPr>
        <w:spacing w:line="360" w:lineRule="auto" w:after="0"/>
        <w:jc w:val="both"/>
      </w:pPr>
      <w:r>
        <w:rPr>
          <w:rFonts w:ascii="Times New Roman" w:hAnsi="Times New Roman" w:eastAsia="Times New Roman"/>
          <w:color w:val="000000"/>
          <w:sz w:val="24"/>
        </w:rPr>
        <w:t xml:space="preserve">Monica, L. E., &amp; Kumar, A. (2021). OECD 423 and 425 guidelines for acute toxicity testing: A comparative analysis.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xml:space="preserve">, 123, 104930. </w:t>
      </w:r>
      <w:hyperlink r:id="rId114">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Nassar, M. I., Gaara, A. H., El-Ghorab, A. H., Farrag, A. R. H., Shen, H., &amp; Huq, E. (2007). Chemical constituents of clove (Syzygium aromaticum, Fam. Myrtaceae) and their antioxidant activity. </w:t>
      </w:r>
      <w:r>
        <w:rPr>
          <w:rFonts w:ascii="Times New Roman" w:hAnsi="Times New Roman" w:eastAsia="Times New Roman"/>
          <w:i/>
          <w:color w:val="000000"/>
          <w:sz w:val="24"/>
        </w:rPr>
        <w:t>Revista Latinoamericana de Química</w:t>
      </w:r>
      <w:r>
        <w:rPr>
          <w:rFonts w:ascii="Times New Roman" w:hAnsi="Times New Roman" w:eastAsia="Times New Roman"/>
          <w:color w:val="000000"/>
          <w:sz w:val="24"/>
        </w:rPr>
        <w:t xml:space="preserve">, 35(3), 47–57. </w:t>
      </w:r>
      <w:hyperlink r:id="rId115">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Navarro, A. S., &amp; Sánchez, M. (2022). Adverse effects of NSAIDs in dysmenorrhea treatment. </w:t>
      </w:r>
      <w:r>
        <w:rPr>
          <w:rFonts w:ascii="Times New Roman" w:hAnsi="Times New Roman" w:eastAsia="Times New Roman"/>
          <w:i/>
          <w:color w:val="000000"/>
          <w:sz w:val="24"/>
        </w:rPr>
        <w:t>Drug Safety</w:t>
      </w:r>
      <w:r>
        <w:rPr>
          <w:rFonts w:ascii="Times New Roman" w:hAnsi="Times New Roman" w:eastAsia="Times New Roman"/>
          <w:color w:val="000000"/>
          <w:sz w:val="24"/>
        </w:rPr>
        <w:t xml:space="preserve">, 45(4), 349–362. </w:t>
      </w:r>
      <w:hyperlink r:id="rId116">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Nazar, H., Rahman, M., &amp; Usmanghani, K. (2006). Clinical evaluation to assess the safety and efficacy of coded herbal medicine "Dysmo-off" versus allopathic medicine "Diclofenac Sodium" for the treatment of primary dysmenorrhea. </w:t>
      </w:r>
      <w:r>
        <w:rPr>
          <w:rFonts w:ascii="Times New Roman" w:hAnsi="Times New Roman" w:eastAsia="Times New Roman"/>
          <w:i/>
          <w:color w:val="000000"/>
          <w:sz w:val="24"/>
        </w:rPr>
        <w:t>Journal of Herbal Pharmacotherapy</w:t>
      </w:r>
      <w:r>
        <w:rPr>
          <w:rFonts w:ascii="Times New Roman" w:hAnsi="Times New Roman" w:eastAsia="Times New Roman"/>
          <w:color w:val="000000"/>
          <w:sz w:val="24"/>
        </w:rPr>
        <w:t xml:space="preserve">, 6(1), 21–39. </w:t>
      </w:r>
      <w:hyperlink r:id="rId117">
        <w:r>
          <w:rPr>
            <w:color w:val="0000FF"/>
            <w:u w:val="single"/>
          </w:rPr>
          <w:t>source</w:t>
        </w:r>
      </w:hyperlink>
    </w:p>
    <w:p>
      <w:pPr>
        <w:spacing w:line="360" w:lineRule="auto" w:after="0"/>
        <w:jc w:val="both"/>
      </w:pPr>
      <w:r>
        <w:rPr>
          <w:rFonts w:ascii="Times New Roman" w:hAnsi="Times New Roman" w:eastAsia="Times New Roman"/>
          <w:color w:val="000000"/>
          <w:sz w:val="24"/>
        </w:rPr>
        <w:t xml:space="preserve">Nisar, M. F., Samad, A., &amp; Haq, I. (2025). Anti-inflammatory and antioxidant activities of eugenol: An update. </w:t>
      </w:r>
      <w:r>
        <w:rPr>
          <w:rFonts w:ascii="Times New Roman" w:hAnsi="Times New Roman" w:eastAsia="Times New Roman"/>
          <w:i/>
          <w:color w:val="000000"/>
          <w:sz w:val="24"/>
        </w:rPr>
        <w:t>Pharmaceuticals</w:t>
      </w:r>
      <w:r>
        <w:rPr>
          <w:rFonts w:ascii="Times New Roman" w:hAnsi="Times New Roman" w:eastAsia="Times New Roman"/>
          <w:color w:val="000000"/>
          <w:sz w:val="24"/>
        </w:rPr>
        <w:t xml:space="preserve">, 17(11), 1505. </w:t>
      </w:r>
      <w:hyperlink r:id="rId118">
        <w:r>
          <w:rPr>
            <w:color w:val="0000FF"/>
            <w:u w:val="single"/>
          </w:rPr>
          <w:t>source</w:t>
        </w:r>
      </w:hyperlink>
    </w:p>
    <w:p>
      <w:pPr>
        <w:spacing w:line="360" w:lineRule="auto" w:after="0"/>
        <w:jc w:val="both"/>
      </w:pPr>
      <w:r>
        <w:rPr>
          <w:rFonts w:ascii="Times New Roman" w:hAnsi="Times New Roman" w:eastAsia="Times New Roman"/>
          <w:color w:val="000000"/>
          <w:sz w:val="24"/>
        </w:rPr>
        <w:t xml:space="preserve">Nishijima, H., Uchida, R., Kameyama, K., Kawakami, N., Ohkubo, T., &amp; Kitamura, K. (1999). Mechanisms mediating the vasorelaxing action of eugenol, a pungent oil, on rabbit arterial tissue. </w:t>
      </w:r>
      <w:r>
        <w:rPr>
          <w:rFonts w:ascii="Times New Roman" w:hAnsi="Times New Roman" w:eastAsia="Times New Roman"/>
          <w:i/>
          <w:color w:val="000000"/>
          <w:sz w:val="24"/>
        </w:rPr>
        <w:t>Japanese Journal of Pharmacology</w:t>
      </w:r>
      <w:r>
        <w:rPr>
          <w:rFonts w:ascii="Times New Roman" w:hAnsi="Times New Roman" w:eastAsia="Times New Roman"/>
          <w:color w:val="000000"/>
          <w:sz w:val="24"/>
        </w:rPr>
        <w:t xml:space="preserve">, 79(3), 327–334. </w:t>
      </w:r>
      <w:hyperlink r:id="rId119">
        <w:r>
          <w:rPr>
            <w:color w:val="0000FF"/>
            <w:u w:val="single"/>
          </w:rPr>
          <w:t>source</w:t>
        </w:r>
      </w:hyperlink>
    </w:p>
    <w:p>
      <w:pPr>
        <w:spacing w:line="360" w:lineRule="auto" w:after="0"/>
        <w:jc w:val="both"/>
      </w:pPr>
      <w:r>
        <w:rPr>
          <w:rFonts w:ascii="Times New Roman" w:hAnsi="Times New Roman" w:eastAsia="Times New Roman"/>
          <w:color w:val="000000"/>
          <w:sz w:val="24"/>
        </w:rPr>
        <w:t xml:space="preserve">Nuñez, L., &amp; D'Aquino, M. (2021). Microbiological quality of clove essential oil and its applications as an antimicrobial agent. </w:t>
      </w:r>
      <w:r>
        <w:rPr>
          <w:rFonts w:ascii="Times New Roman" w:hAnsi="Times New Roman" w:eastAsia="Times New Roman"/>
          <w:i/>
          <w:color w:val="000000"/>
          <w:sz w:val="24"/>
        </w:rPr>
        <w:t>Journal of Food Protection</w:t>
      </w:r>
      <w:r>
        <w:rPr>
          <w:rFonts w:ascii="Times New Roman" w:hAnsi="Times New Roman" w:eastAsia="Times New Roman"/>
          <w:color w:val="000000"/>
          <w:sz w:val="24"/>
        </w:rPr>
        <w:t xml:space="preserve">, 84(4), 621–629. </w:t>
      </w:r>
      <w:hyperlink r:id="rId120">
        <w:r>
          <w:rPr>
            <w:color w:val="0000FF"/>
            <w:u w:val="single"/>
          </w:rPr>
          <w:t>source</w:t>
        </w:r>
      </w:hyperlink>
    </w:p>
    <w:p>
      <w:pPr>
        <w:spacing w:line="360" w:lineRule="auto" w:after="0"/>
        <w:jc w:val="both"/>
      </w:pPr>
      <w:r>
        <w:rPr>
          <w:rFonts w:ascii="Times New Roman" w:hAnsi="Times New Roman" w:eastAsia="Times New Roman"/>
          <w:color w:val="000000"/>
          <w:sz w:val="24"/>
        </w:rPr>
        <w:t xml:space="preserve">Nwankwo, T. O., Aniebue, U. U., &amp; Aniebue, P. N. (2010). Menstrual disorders in adolescent school girls in Enugu, Nigeria.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23(6), 358–363. </w:t>
      </w:r>
      <w:hyperlink r:id="rId121">
        <w:r>
          <w:rPr>
            <w:color w:val="0000FF"/>
            <w:u w:val="single"/>
          </w:rPr>
          <w:t>source</w:t>
        </w:r>
      </w:hyperlink>
    </w:p>
    <w:p>
      <w:pPr>
        <w:spacing w:line="360" w:lineRule="auto" w:after="0"/>
        <w:jc w:val="both"/>
      </w:pPr>
      <w:r>
        <w:rPr>
          <w:rFonts w:ascii="Times New Roman" w:hAnsi="Times New Roman" w:eastAsia="Times New Roman"/>
          <w:color w:val="000000"/>
          <w:sz w:val="24"/>
        </w:rPr>
        <w:t xml:space="preserve">Nwankwo, T. O., Danborno, B., &amp; Nwankwo, E. A. (2021). Prevalence and impact of dysmenorrhea among Nigerian university students. </w:t>
      </w:r>
      <w:r>
        <w:rPr>
          <w:rFonts w:ascii="Times New Roman" w:hAnsi="Times New Roman" w:eastAsia="Times New Roman"/>
          <w:i/>
          <w:color w:val="000000"/>
          <w:sz w:val="24"/>
        </w:rPr>
        <w:t>Nigerian Journal of Clinical Practice</w:t>
      </w:r>
      <w:r>
        <w:rPr>
          <w:rFonts w:ascii="Times New Roman" w:hAnsi="Times New Roman" w:eastAsia="Times New Roman"/>
          <w:color w:val="000000"/>
          <w:sz w:val="24"/>
        </w:rPr>
        <w:t xml:space="preserve">, 24(2), 215–221. </w:t>
      </w:r>
      <w:hyperlink r:id="rId122">
        <w:r>
          <w:rPr>
            <w:color w:val="0000FF"/>
            <w:u w:val="single"/>
          </w:rPr>
          <w:t>source</w:t>
        </w:r>
      </w:hyperlink>
    </w:p>
    <w:p>
      <w:pPr>
        <w:spacing w:line="360" w:lineRule="auto" w:after="0"/>
        <w:jc w:val="both"/>
      </w:pPr>
      <w:r>
        <w:rPr>
          <w:rFonts w:ascii="Times New Roman" w:hAnsi="Times New Roman" w:eastAsia="Times New Roman"/>
          <w:color w:val="000000"/>
          <w:sz w:val="24"/>
        </w:rPr>
        <w:t xml:space="preserve">OECD. (2002). Test No. 423: Acute oral toxicity – Acute toxic class method.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xml:space="preserve">. OECD Publishing. </w:t>
      </w:r>
      <w:hyperlink r:id="rId1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OECD. (2006). Test No. 425: Acute oral toxicity – Up-and-down procedure.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xml:space="preserve">. OECD Publishing. </w:t>
      </w:r>
      <w:hyperlink r:id="rId124">
        <w:r>
          <w:rPr>
            <w:color w:val="0000FF"/>
            <w:u w:val="single"/>
          </w:rPr>
          <w:t>source</w:t>
        </w:r>
      </w:hyperlink>
    </w:p>
    <w:p>
      <w:pPr>
        <w:spacing w:line="360" w:lineRule="auto" w:after="0"/>
        <w:jc w:val="both"/>
      </w:pPr>
      <w:r>
        <w:rPr>
          <w:rFonts w:ascii="Times New Roman" w:hAnsi="Times New Roman" w:eastAsia="Times New Roman"/>
          <w:color w:val="000000"/>
          <w:sz w:val="24"/>
        </w:rPr>
        <w:t xml:space="preserve">Oladosu, F. A., Tu, F. F., &amp; Hellman, K. M. (2018). Nonsteroidal anti-inflammatory drug resistance in dysmenorrhea: Epidemiology, causes, and treatment.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218(4), 390–400. </w:t>
      </w:r>
      <w:hyperlink r:id="rId125">
        <w:r>
          <w:rPr>
            <w:color w:val="0000FF"/>
            <w:u w:val="single"/>
          </w:rPr>
          <w:t>source</w:t>
        </w:r>
      </w:hyperlink>
    </w:p>
    <w:p>
      <w:pPr>
        <w:spacing w:line="360" w:lineRule="auto" w:after="0"/>
        <w:jc w:val="both"/>
      </w:pPr>
      <w:r>
        <w:rPr>
          <w:rFonts w:ascii="Times New Roman" w:hAnsi="Times New Roman" w:eastAsia="Times New Roman"/>
          <w:color w:val="000000"/>
          <w:sz w:val="24"/>
        </w:rPr>
        <w:t xml:space="preserve">Oladosu, F. T., &amp; Ogunlana, O. E. (2022). Prevalence and impact of dysmenorrhea among Nigerian women: A review. </w:t>
      </w:r>
      <w:r>
        <w:rPr>
          <w:rFonts w:ascii="Times New Roman" w:hAnsi="Times New Roman" w:eastAsia="Times New Roman"/>
          <w:i/>
          <w:color w:val="000000"/>
          <w:sz w:val="24"/>
        </w:rPr>
        <w:t>African Journal of Reproductive Health</w:t>
      </w:r>
      <w:r>
        <w:rPr>
          <w:rFonts w:ascii="Times New Roman" w:hAnsi="Times New Roman" w:eastAsia="Times New Roman"/>
          <w:color w:val="000000"/>
          <w:sz w:val="24"/>
        </w:rPr>
        <w:t>, 26(2), 85–95.</w:t>
      </w:r>
    </w:p>
    <w:p>
      <w:pPr>
        <w:spacing w:line="360" w:lineRule="auto" w:after="0"/>
        <w:jc w:val="both"/>
      </w:pPr>
      <w:r>
        <w:rPr>
          <w:rFonts w:ascii="Times New Roman" w:hAnsi="Times New Roman" w:eastAsia="Times New Roman"/>
          <w:color w:val="000000"/>
          <w:sz w:val="24"/>
        </w:rPr>
        <w:t xml:space="preserve">Orafidiya, L. O., &amp; Agbani, E. O. (2021). Acute toxicity evaluation of Syzygium aromaticum essential oil in Wistar rats.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29, 100487. </w:t>
      </w:r>
      <w:hyperlink r:id="rId126">
        <w:r>
          <w:rPr>
            <w:color w:val="0000FF"/>
            <w:u w:val="single"/>
          </w:rPr>
          <w:t>source</w:t>
        </w:r>
      </w:hyperlink>
    </w:p>
    <w:p>
      <w:pPr>
        <w:spacing w:line="360" w:lineRule="auto" w:after="0"/>
        <w:jc w:val="both"/>
      </w:pPr>
      <w:r>
        <w:rPr>
          <w:rFonts w:ascii="Times New Roman" w:hAnsi="Times New Roman" w:eastAsia="Times New Roman"/>
          <w:color w:val="000000"/>
          <w:sz w:val="24"/>
        </w:rPr>
        <w:t xml:space="preserve">Ortiz, M. I., &amp; Castañeda-Hernández, G. (2022). Pharmacological profile of eugenol: From bench to bedside.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924, 174984. </w:t>
      </w:r>
      <w:hyperlink r:id="rId127">
        <w:r>
          <w:rPr>
            <w:color w:val="0000FF"/>
            <w:u w:val="single"/>
          </w:rPr>
          <w:t>source</w:t>
        </w:r>
      </w:hyperlink>
    </w:p>
    <w:p>
      <w:pPr>
        <w:spacing w:line="360" w:lineRule="auto" w:after="0"/>
        <w:jc w:val="both"/>
      </w:pPr>
      <w:r>
        <w:rPr>
          <w:rFonts w:ascii="Times New Roman" w:hAnsi="Times New Roman" w:eastAsia="Times New Roman"/>
          <w:color w:val="000000"/>
          <w:sz w:val="24"/>
        </w:rPr>
        <w:t xml:space="preserve">Ortiz, M. I., Granados-Soto, V., &amp; Castañeda-Hernández, G. (2021). The role of potassium channels in the antinociceptive effect of eugenol.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890, 173645. </w:t>
      </w:r>
      <w:hyperlink r:id="rId128">
        <w:r>
          <w:rPr>
            <w:color w:val="0000FF"/>
            <w:u w:val="single"/>
          </w:rPr>
          <w:t>source</w:t>
        </w:r>
      </w:hyperlink>
    </w:p>
    <w:p>
      <w:pPr>
        <w:spacing w:line="360" w:lineRule="auto" w:after="0"/>
        <w:jc w:val="both"/>
      </w:pPr>
      <w:r>
        <w:rPr>
          <w:rFonts w:ascii="Times New Roman" w:hAnsi="Times New Roman" w:eastAsia="Times New Roman"/>
          <w:color w:val="000000"/>
          <w:sz w:val="24"/>
        </w:rPr>
        <w:t xml:space="preserve">Ostad, S. N., Soodi, M., Shariffzadeh, M., &amp; Khorshidi, N. (2001). The effect of fennel essential oil on uterine contraction as a model for dysmenorrhea, pharmacology and toxicology study.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76(3), 299–302. </w:t>
      </w:r>
      <w:hyperlink r:id="rId129">
        <w:r>
          <w:rPr>
            <w:color w:val="0000FF"/>
            <w:u w:val="single"/>
          </w:rPr>
          <w:t>source</w:t>
        </w:r>
      </w:hyperlink>
      <w:r>
        <w:rPr>
          <w:rFonts w:ascii="Times New Roman" w:hAnsi="Times New Roman" w:eastAsia="Times New Roman"/>
          <w:color w:val="000000"/>
          <w:sz w:val="24"/>
        </w:rPr>
        <w:t>00249-5)</w:t>
      </w:r>
    </w:p>
    <w:p>
      <w:pPr>
        <w:spacing w:line="360" w:lineRule="auto" w:after="0"/>
        <w:jc w:val="both"/>
      </w:pPr>
      <w:r>
        <w:rPr>
          <w:rFonts w:ascii="Times New Roman" w:hAnsi="Times New Roman" w:eastAsia="Times New Roman"/>
          <w:color w:val="000000"/>
          <w:sz w:val="24"/>
        </w:rPr>
        <w:t xml:space="preserve">Pahwa, R., &amp; Jialal, I. (2021). Prostaglandins and inflammation. </w:t>
      </w:r>
      <w:r>
        <w:rPr>
          <w:rFonts w:ascii="Times New Roman" w:hAnsi="Times New Roman" w:eastAsia="Times New Roman"/>
          <w:i/>
          <w:color w:val="000000"/>
          <w:sz w:val="24"/>
        </w:rPr>
        <w:t>StatPearls Publishing</w:t>
      </w:r>
      <w:r>
        <w:rPr>
          <w:rFonts w:ascii="Times New Roman" w:hAnsi="Times New Roman" w:eastAsia="Times New Roman"/>
          <w:color w:val="000000"/>
          <w:sz w:val="24"/>
        </w:rPr>
        <w:t xml:space="preserve">. </w:t>
      </w:r>
      <w:hyperlink r:id="rId1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Pal, D., &amp; Dutta, S. (2022). Preclinical evaluation of herbal drugs: Acute oral toxicity study according to OECD guidelines. </w:t>
      </w:r>
      <w:r>
        <w:rPr>
          <w:rFonts w:ascii="Times New Roman" w:hAnsi="Times New Roman" w:eastAsia="Times New Roman"/>
          <w:i/>
          <w:color w:val="000000"/>
          <w:sz w:val="24"/>
        </w:rPr>
        <w:t>Proceedings of the National Academy of Sciences, India Section B</w:t>
      </w:r>
      <w:r>
        <w:rPr>
          <w:rFonts w:ascii="Times New Roman" w:hAnsi="Times New Roman" w:eastAsia="Times New Roman"/>
          <w:color w:val="000000"/>
          <w:sz w:val="24"/>
        </w:rPr>
        <w:t xml:space="preserve">, 92(1), 15–25. </w:t>
      </w:r>
      <w:hyperlink r:id="rId131">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Park, B. S., &amp; Lee, K. G. (2021). Antioxidant activity of clove bud extract and its application in food systems. </w:t>
      </w:r>
      <w:r>
        <w:rPr>
          <w:rFonts w:ascii="Times New Roman" w:hAnsi="Times New Roman" w:eastAsia="Times New Roman"/>
          <w:i/>
          <w:color w:val="000000"/>
          <w:sz w:val="24"/>
        </w:rPr>
        <w:t>Food Science and Biotechnology</w:t>
      </w:r>
      <w:r>
        <w:rPr>
          <w:rFonts w:ascii="Times New Roman" w:hAnsi="Times New Roman" w:eastAsia="Times New Roman"/>
          <w:color w:val="000000"/>
          <w:sz w:val="24"/>
        </w:rPr>
        <w:t xml:space="preserve">, 30(4), 567–576. </w:t>
      </w:r>
      <w:hyperlink r:id="rId132">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Park, C. K., Kim, K., Jung, S. J., Kim, M. J., Ahn, D. K., Hong, S. D., Kim, J. S., &amp; Oh, S. B. (2006). Molecular mechanism for local anesthetic action of eugenol in the rat trigeminal system. </w:t>
      </w:r>
      <w:r>
        <w:rPr>
          <w:rFonts w:ascii="Times New Roman" w:hAnsi="Times New Roman" w:eastAsia="Times New Roman"/>
          <w:i/>
          <w:color w:val="000000"/>
          <w:sz w:val="24"/>
        </w:rPr>
        <w:t>Pain</w:t>
      </w:r>
      <w:r>
        <w:rPr>
          <w:rFonts w:ascii="Times New Roman" w:hAnsi="Times New Roman" w:eastAsia="Times New Roman"/>
          <w:color w:val="000000"/>
          <w:sz w:val="24"/>
        </w:rPr>
        <w:t xml:space="preserve">, 124(3), 286–294. </w:t>
      </w:r>
      <w:hyperlink r:id="rId133">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Pattanittum, P., Kunyanone, N., Brown, J., Sangkomkamhang, U. S., Barnes, J., Seyfoddin, V., &amp; Marjoribanks, J. (2016). Dietary supplements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(3), CD002124. </w:t>
      </w:r>
      <w:hyperlink r:id="rId134">
        <w:r>
          <w:rPr>
            <w:color w:val="0000FF"/>
            <w:u w:val="single"/>
          </w:rPr>
          <w:t>source</w:t>
        </w:r>
      </w:hyperlink>
    </w:p>
    <w:p>
      <w:pPr>
        <w:spacing w:line="360" w:lineRule="auto" w:after="0"/>
        <w:jc w:val="both"/>
      </w:pPr>
      <w:r>
        <w:rPr>
          <w:rFonts w:ascii="Times New Roman" w:hAnsi="Times New Roman" w:eastAsia="Times New Roman"/>
          <w:color w:val="000000"/>
          <w:sz w:val="24"/>
        </w:rPr>
        <w:t xml:space="preserve">Peana, A. T., &amp; Moretti, M. D. L. (2022). Eugenol and its derivatives as potential therapeutic agents. </w:t>
      </w:r>
      <w:r>
        <w:rPr>
          <w:rFonts w:ascii="Times New Roman" w:hAnsi="Times New Roman" w:eastAsia="Times New Roman"/>
          <w:i/>
          <w:color w:val="000000"/>
          <w:sz w:val="24"/>
        </w:rPr>
        <w:t>Natural Product Reports</w:t>
      </w:r>
      <w:r>
        <w:rPr>
          <w:rFonts w:ascii="Times New Roman" w:hAnsi="Times New Roman" w:eastAsia="Times New Roman"/>
          <w:color w:val="000000"/>
          <w:sz w:val="24"/>
        </w:rPr>
        <w:t xml:space="preserve">, 39(1), 148–174. </w:t>
      </w:r>
      <w:hyperlink r:id="rId135">
        <w:r>
          <w:rPr>
            <w:color w:val="0000FF"/>
            <w:u w:val="single"/>
          </w:rPr>
          <w:t>source</w:t>
        </w:r>
      </w:hyperlink>
    </w:p>
    <w:p>
      <w:pPr>
        <w:spacing w:line="360" w:lineRule="auto" w:after="0"/>
        <w:jc w:val="both"/>
      </w:pPr>
      <w:r>
        <w:rPr>
          <w:rFonts w:ascii="Times New Roman" w:hAnsi="Times New Roman" w:eastAsia="Times New Roman"/>
          <w:color w:val="000000"/>
          <w:sz w:val="24"/>
        </w:rPr>
        <w:t xml:space="preserve">Peixoto-Neves, D., Nunes, K. Z., &amp; Leal-Cardoso, J. H. (2014). Eugenol dilates rat cerebral arteries by inhibiting smooth muscle cell voltage-dependent calcium channels.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xml:space="preserve">, 171(22), 5040–5054. </w:t>
      </w:r>
      <w:hyperlink r:id="rId136">
        <w:r>
          <w:rPr>
            <w:color w:val="0000FF"/>
            <w:u w:val="single"/>
          </w:rPr>
          <w:t>source</w:t>
        </w:r>
      </w:hyperlink>
    </w:p>
    <w:p>
      <w:pPr>
        <w:spacing w:line="360" w:lineRule="auto" w:after="0"/>
        <w:jc w:val="both"/>
      </w:pPr>
      <w:r>
        <w:rPr>
          <w:rFonts w:ascii="Times New Roman" w:hAnsi="Times New Roman" w:eastAsia="Times New Roman"/>
          <w:color w:val="000000"/>
          <w:sz w:val="24"/>
        </w:rPr>
        <w:t xml:space="preserve">Pina, E. S., &amp; Silva, D. M. (2021). TRPV1 channels and eugenol: Mechanisms of analgesic action. </w:t>
      </w:r>
      <w:r>
        <w:rPr>
          <w:rFonts w:ascii="Times New Roman" w:hAnsi="Times New Roman" w:eastAsia="Times New Roman"/>
          <w:i/>
          <w:color w:val="000000"/>
          <w:sz w:val="24"/>
        </w:rPr>
        <w:t>Neuroscience Letters</w:t>
      </w:r>
      <w:r>
        <w:rPr>
          <w:rFonts w:ascii="Times New Roman" w:hAnsi="Times New Roman" w:eastAsia="Times New Roman"/>
          <w:color w:val="000000"/>
          <w:sz w:val="24"/>
        </w:rPr>
        <w:t xml:space="preserve">, 761, 136117. </w:t>
      </w:r>
      <w:hyperlink r:id="rId137">
        <w:r>
          <w:rPr>
            <w:color w:val="0000FF"/>
            <w:u w:val="single"/>
          </w:rPr>
          <w:t>source</w:t>
        </w:r>
      </w:hyperlink>
    </w:p>
    <w:p>
      <w:pPr>
        <w:spacing w:line="360" w:lineRule="auto" w:after="0"/>
        <w:jc w:val="both"/>
      </w:pPr>
      <w:r>
        <w:rPr>
          <w:rFonts w:ascii="Times New Roman" w:hAnsi="Times New Roman" w:eastAsia="Times New Roman"/>
          <w:color w:val="000000"/>
          <w:sz w:val="24"/>
        </w:rPr>
        <w:t xml:space="preserve">Ponce-Monter, H. A., Ortiz, M. I., &amp; Sánchez-Trigueros, M. I. (2017). Efecto espasmolítico de eugenol en tejido muscular uterino aislado de rata. </w:t>
      </w:r>
      <w:r>
        <w:rPr>
          <w:rFonts w:ascii="Times New Roman" w:hAnsi="Times New Roman" w:eastAsia="Times New Roman"/>
          <w:i/>
          <w:color w:val="000000"/>
          <w:sz w:val="24"/>
        </w:rPr>
        <w:t>Educación y Salud Boletín Científico Instituto de Ciencias de la Salud Universidad Autónoma del Estado de Hidalgo</w:t>
      </w:r>
      <w:r>
        <w:rPr>
          <w:rFonts w:ascii="Times New Roman" w:hAnsi="Times New Roman" w:eastAsia="Times New Roman"/>
          <w:color w:val="000000"/>
          <w:sz w:val="24"/>
        </w:rPr>
        <w:t xml:space="preserve">, 6(11). </w:t>
      </w:r>
      <w:hyperlink r:id="rId138">
        <w:r>
          <w:rPr>
            <w:color w:val="0000FF"/>
            <w:u w:val="single"/>
          </w:rPr>
          <w:t>source</w:t>
        </w:r>
      </w:hyperlink>
    </w:p>
    <w:p>
      <w:pPr>
        <w:spacing w:line="360" w:lineRule="auto" w:after="0"/>
        <w:jc w:val="both"/>
      </w:pPr>
      <w:r>
        <w:rPr>
          <w:rFonts w:ascii="Times New Roman" w:hAnsi="Times New Roman" w:eastAsia="Times New Roman"/>
          <w:color w:val="000000"/>
          <w:sz w:val="24"/>
        </w:rPr>
        <w:t xml:space="preserve">Porto, M. P., da Silva, G. N., &amp; Bianchi, M. L. P. (2014). Citral and eugenol modulate DNA damage and pro-inflammatory mediator genes in murine peritoneal macrophages. </w:t>
      </w:r>
      <w:r>
        <w:rPr>
          <w:rFonts w:ascii="Times New Roman" w:hAnsi="Times New Roman" w:eastAsia="Times New Roman"/>
          <w:i/>
          <w:color w:val="000000"/>
          <w:sz w:val="24"/>
        </w:rPr>
        <w:t>Molecular Biology Reports</w:t>
      </w:r>
      <w:r>
        <w:rPr>
          <w:rFonts w:ascii="Times New Roman" w:hAnsi="Times New Roman" w:eastAsia="Times New Roman"/>
          <w:color w:val="000000"/>
          <w:sz w:val="24"/>
        </w:rPr>
        <w:t xml:space="preserve">, 41(11), 7043–7051. </w:t>
      </w:r>
      <w:hyperlink r:id="rId139">
        <w:r>
          <w:rPr>
            <w:color w:val="0000FF"/>
            <w:u w:val="single"/>
          </w:rPr>
          <w:t>source</w:t>
        </w:r>
      </w:hyperlink>
    </w:p>
    <w:p>
      <w:pPr>
        <w:spacing w:line="360" w:lineRule="auto" w:after="0"/>
        <w:jc w:val="both"/>
      </w:pPr>
      <w:r>
        <w:rPr>
          <w:rFonts w:ascii="Times New Roman" w:hAnsi="Times New Roman" w:eastAsia="Times New Roman"/>
          <w:color w:val="000000"/>
          <w:sz w:val="24"/>
        </w:rPr>
        <w:t xml:space="preserve">Prabhu, K. S., &amp; Rao, M. S. (2022). Cyclooxygenase enzymes and their role in inflammation and pain. </w:t>
      </w:r>
      <w:r>
        <w:rPr>
          <w:rFonts w:ascii="Times New Roman" w:hAnsi="Times New Roman" w:eastAsia="Times New Roman"/>
          <w:i/>
          <w:color w:val="000000"/>
          <w:sz w:val="24"/>
        </w:rPr>
        <w:t>Journal of Biosciences</w:t>
      </w:r>
      <w:r>
        <w:rPr>
          <w:rFonts w:ascii="Times New Roman" w:hAnsi="Times New Roman" w:eastAsia="Times New Roman"/>
          <w:color w:val="000000"/>
          <w:sz w:val="24"/>
        </w:rPr>
        <w:t xml:space="preserve">, 47(2), 35. </w:t>
      </w:r>
      <w:hyperlink r:id="rId140">
        <w:r>
          <w:rPr>
            <w:color w:val="0000FF"/>
            <w:u w:val="single"/>
          </w:rPr>
          <w:t>source</w:t>
        </w:r>
      </w:hyperlink>
    </w:p>
    <w:p>
      <w:pPr>
        <w:spacing w:line="360" w:lineRule="auto" w:after="0"/>
        <w:jc w:val="both"/>
      </w:pPr>
      <w:r>
        <w:rPr>
          <w:rFonts w:ascii="Times New Roman" w:hAnsi="Times New Roman" w:eastAsia="Times New Roman"/>
          <w:color w:val="000000"/>
          <w:sz w:val="24"/>
        </w:rPr>
        <w:t xml:space="preserve">Pramod, K., Ansari, S. H., &amp; Ali, J. (2025). Antioxidant and anti-inflammatory activity of eugenol, bis-eugenol, and clove essential oil: An in vitro study. </w:t>
      </w:r>
      <w:r>
        <w:rPr>
          <w:rFonts w:ascii="Times New Roman" w:hAnsi="Times New Roman" w:eastAsia="Times New Roman"/>
          <w:i/>
          <w:color w:val="000000"/>
          <w:sz w:val="24"/>
        </w:rPr>
        <w:t>ACS Omega</w:t>
      </w:r>
      <w:r>
        <w:rPr>
          <w:rFonts w:ascii="Times New Roman" w:hAnsi="Times New Roman" w:eastAsia="Times New Roman"/>
          <w:color w:val="000000"/>
          <w:sz w:val="24"/>
        </w:rPr>
        <w:t xml:space="preserve">, 10(28), 28716–28729. </w:t>
      </w:r>
      <w:hyperlink r:id="rId141">
        <w:r>
          <w:rPr>
            <w:color w:val="0000FF"/>
            <w:u w:val="single"/>
          </w:rPr>
          <w:t>source</w:t>
        </w:r>
      </w:hyperlink>
    </w:p>
    <w:p>
      <w:pPr>
        <w:spacing w:line="360" w:lineRule="auto" w:after="0"/>
        <w:jc w:val="both"/>
      </w:pPr>
      <w:r>
        <w:rPr>
          <w:rFonts w:ascii="Times New Roman" w:hAnsi="Times New Roman" w:eastAsia="Times New Roman"/>
          <w:color w:val="000000"/>
          <w:sz w:val="24"/>
        </w:rPr>
        <w:t xml:space="preserve">Puspitasari, V., Wahjuni, R. S., Saputro, A. L., Hamid, I. S., &amp; Wibawati, P. A. (2021). Effectiveness of clove flower extract (Syzygium aromaticum L.) as analgesic on licking time reaction in male mice with formalin induction. </w:t>
      </w:r>
      <w:r>
        <w:rPr>
          <w:rFonts w:ascii="Times New Roman" w:hAnsi="Times New Roman" w:eastAsia="Times New Roman"/>
          <w:i/>
          <w:color w:val="000000"/>
          <w:sz w:val="24"/>
        </w:rPr>
        <w:t>Jurnal Medik Veteriner</w:t>
      </w:r>
      <w:r>
        <w:rPr>
          <w:rFonts w:ascii="Times New Roman" w:hAnsi="Times New Roman" w:eastAsia="Times New Roman"/>
          <w:color w:val="000000"/>
          <w:sz w:val="24"/>
        </w:rPr>
        <w:t xml:space="preserve">, 4(2), 226–230. </w:t>
      </w:r>
      <w:hyperlink r:id="rId142">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Raghavenra, H., Diwakr, B. T., Lokesh, B. R., &amp; Naidu, K. A. (2006). Eugenol—The active principle from cloves inhibits 5-lipoxygenase activity and leukotriene-C4 in human PMNL cells.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74(1), 23–27. </w:t>
      </w:r>
      <w:hyperlink r:id="rId143">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Rahnama, P., &amp; Montazeri, A. (2021). Complementary and alternative medicine for dysmenorrhea: A systematic review. </w:t>
      </w:r>
      <w:r>
        <w:rPr>
          <w:rFonts w:ascii="Times New Roman" w:hAnsi="Times New Roman" w:eastAsia="Times New Roman"/>
          <w:i/>
          <w:color w:val="000000"/>
          <w:sz w:val="24"/>
        </w:rPr>
        <w:t>Journal of Alternative and Complementary Medicine</w:t>
      </w:r>
      <w:r>
        <w:rPr>
          <w:rFonts w:ascii="Times New Roman" w:hAnsi="Times New Roman" w:eastAsia="Times New Roman"/>
          <w:color w:val="000000"/>
          <w:sz w:val="24"/>
        </w:rPr>
        <w:t xml:space="preserve">, 27(5), 387–399. </w:t>
      </w:r>
      <w:hyperlink r:id="rId144">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Rajan, M., &amp; Kumar, S. (2022). Pharmacology of eugenol: Antispasmodic effects on smooth muscle. </w:t>
      </w:r>
      <w:r>
        <w:rPr>
          <w:rFonts w:ascii="Times New Roman" w:hAnsi="Times New Roman" w:eastAsia="Times New Roman"/>
          <w:i/>
          <w:color w:val="000000"/>
          <w:sz w:val="24"/>
        </w:rPr>
        <w:t>Journal of Smooth Muscle Research</w:t>
      </w:r>
      <w:r>
        <w:rPr>
          <w:rFonts w:ascii="Times New Roman" w:hAnsi="Times New Roman" w:eastAsia="Times New Roman"/>
          <w:color w:val="000000"/>
          <w:sz w:val="24"/>
        </w:rPr>
        <w:t xml:space="preserve">, 58, 1–12. </w:t>
      </w:r>
      <w:hyperlink r:id="rId1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Ramezani, M., &amp; Jalali, M. (2021). The effect of herbal medicines on primary dysmenorrhea: An updated systematic review. </w:t>
      </w:r>
      <w:r>
        <w:rPr>
          <w:rFonts w:ascii="Times New Roman" w:hAnsi="Times New Roman" w:eastAsia="Times New Roman"/>
          <w:i/>
          <w:color w:val="000000"/>
          <w:sz w:val="24"/>
        </w:rPr>
        <w:t>Phytomedicine</w:t>
      </w:r>
      <w:r>
        <w:rPr>
          <w:rFonts w:ascii="Times New Roman" w:hAnsi="Times New Roman" w:eastAsia="Times New Roman"/>
          <w:color w:val="000000"/>
          <w:sz w:val="24"/>
        </w:rPr>
        <w:t xml:space="preserve">, 85, 153558. </w:t>
      </w:r>
      <w:hyperlink r:id="rId146">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Rasheed, A., Laekeman, G., Totte, J., Vlietinck, A. J., &amp; Herman, A. G. (1984). Eugenol and prostaglandin biosynthesis. </w:t>
      </w:r>
      <w:r>
        <w:rPr>
          <w:rFonts w:ascii="Times New Roman" w:hAnsi="Times New Roman" w:eastAsia="Times New Roman"/>
          <w:i/>
          <w:color w:val="000000"/>
          <w:sz w:val="24"/>
        </w:rPr>
        <w:t>New England Journal of Medicine</w:t>
      </w:r>
      <w:r>
        <w:rPr>
          <w:rFonts w:ascii="Times New Roman" w:hAnsi="Times New Roman" w:eastAsia="Times New Roman"/>
          <w:color w:val="000000"/>
          <w:sz w:val="24"/>
        </w:rPr>
        <w:t xml:space="preserve">, 310, 50–51. </w:t>
      </w:r>
      <w:hyperlink r:id="rId147">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Rashidi, B. H., &amp; Rahimikian, F. (2022). Prevalence of dysmenorrhea and its associated factors among Iranian women. </w:t>
      </w:r>
      <w:r>
        <w:rPr>
          <w:rFonts w:ascii="Times New Roman" w:hAnsi="Times New Roman" w:eastAsia="Times New Roman"/>
          <w:i/>
          <w:color w:val="000000"/>
          <w:sz w:val="24"/>
        </w:rPr>
        <w:t>BMC Women's Health</w:t>
      </w:r>
      <w:r>
        <w:rPr>
          <w:rFonts w:ascii="Times New Roman" w:hAnsi="Times New Roman" w:eastAsia="Times New Roman"/>
          <w:color w:val="000000"/>
          <w:sz w:val="24"/>
        </w:rPr>
        <w:t xml:space="preserve">, 22, 45. </w:t>
      </w:r>
      <w:hyperlink r:id="rId148">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Raskin, J. B., &amp; O'Brien, J. D. (2022). Smooth muscle physiology: Mechanisms of contraction and relaxation. </w:t>
      </w:r>
      <w:r>
        <w:rPr>
          <w:rFonts w:ascii="Times New Roman" w:hAnsi="Times New Roman" w:eastAsia="Times New Roman"/>
          <w:i/>
          <w:color w:val="000000"/>
          <w:sz w:val="24"/>
        </w:rPr>
        <w:t>Comprehensive Physiology</w:t>
      </w:r>
      <w:r>
        <w:rPr>
          <w:rFonts w:ascii="Times New Roman" w:hAnsi="Times New Roman" w:eastAsia="Times New Roman"/>
          <w:color w:val="000000"/>
          <w:sz w:val="24"/>
        </w:rPr>
        <w:t xml:space="preserve">, 12(2), 3457–3498. </w:t>
      </w:r>
      <w:hyperlink r:id="rId149">
        <w:r>
          <w:rPr>
            <w:color w:val="0000FF"/>
            <w:u w:val="single"/>
          </w:rPr>
          <w:t>source</w:t>
        </w:r>
      </w:hyperlink>
    </w:p>
    <w:p>
      <w:pPr>
        <w:spacing w:line="360" w:lineRule="auto" w:after="0"/>
        <w:jc w:val="both"/>
      </w:pPr>
      <w:r>
        <w:rPr>
          <w:rFonts w:ascii="Times New Roman" w:hAnsi="Times New Roman" w:eastAsia="Times New Roman"/>
          <w:color w:val="000000"/>
          <w:sz w:val="24"/>
        </w:rPr>
        <w:t xml:space="preserve">Reddy, N. M., &amp; Reddy, P. H. (2021). Eugenol: A potent inhibitor of arachidonic acid metabolism.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169, 102294. </w:t>
      </w:r>
      <w:hyperlink r:id="rId150">
        <w:r>
          <w:rPr>
            <w:color w:val="0000FF"/>
            <w:u w:val="single"/>
          </w:rPr>
          <w:t>source</w:t>
        </w:r>
      </w:hyperlink>
    </w:p>
    <w:p>
      <w:pPr>
        <w:spacing w:line="360" w:lineRule="auto" w:after="0"/>
        <w:jc w:val="both"/>
      </w:pPr>
      <w:r>
        <w:rPr>
          <w:rFonts w:ascii="Times New Roman" w:hAnsi="Times New Roman" w:eastAsia="Times New Roman"/>
          <w:color w:val="000000"/>
          <w:sz w:val="24"/>
        </w:rPr>
        <w:t xml:space="preserve">Rodrigues, T. G., Fernandes, A., Sousa, J. P. B., Bastos, J. K., &amp; Sforcin, J. M. (2009). In vitro and in vivo effects of clove on pro-inflammatory cytokines production by macrophages.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xml:space="preserve">, 23(4), 319–326. </w:t>
      </w:r>
      <w:hyperlink r:id="rId151">
        <w:r>
          <w:rPr>
            <w:color w:val="0000FF"/>
            <w:u w:val="single"/>
          </w:rPr>
          <w:t>source</w:t>
        </w:r>
      </w:hyperlink>
    </w:p>
    <w:p>
      <w:pPr>
        <w:spacing w:line="360" w:lineRule="auto" w:after="0"/>
        <w:jc w:val="both"/>
      </w:pPr>
      <w:r>
        <w:rPr>
          <w:rFonts w:ascii="Times New Roman" w:hAnsi="Times New Roman" w:eastAsia="Times New Roman"/>
          <w:color w:val="000000"/>
          <w:sz w:val="24"/>
        </w:rPr>
        <w:t xml:space="preserve">Rouzer, C. A., &amp; Marnett, L. J. (2009). Cyclooxygenases: Structural and functional insights. </w:t>
      </w:r>
      <w:r>
        <w:rPr>
          <w:rFonts w:ascii="Times New Roman" w:hAnsi="Times New Roman" w:eastAsia="Times New Roman"/>
          <w:i/>
          <w:color w:val="000000"/>
          <w:sz w:val="24"/>
        </w:rPr>
        <w:t>Journal of Lipid Research</w:t>
      </w:r>
      <w:r>
        <w:rPr>
          <w:rFonts w:ascii="Times New Roman" w:hAnsi="Times New Roman" w:eastAsia="Times New Roman"/>
          <w:color w:val="000000"/>
          <w:sz w:val="24"/>
        </w:rPr>
        <w:t xml:space="preserve">, 50(Suppl), S29–S34. </w:t>
      </w:r>
      <w:hyperlink r:id="rId152">
        <w:r>
          <w:rPr>
            <w:color w:val="0000FF"/>
            <w:u w:val="single"/>
          </w:rPr>
          <w:t>source</w:t>
        </w:r>
      </w:hyperlink>
    </w:p>
    <w:p>
      <w:pPr>
        <w:spacing w:line="360" w:lineRule="auto" w:after="0"/>
        <w:jc w:val="both"/>
      </w:pPr>
      <w:r>
        <w:rPr>
          <w:rFonts w:ascii="Times New Roman" w:hAnsi="Times New Roman" w:eastAsia="Times New Roman"/>
          <w:color w:val="000000"/>
          <w:sz w:val="24"/>
        </w:rPr>
        <w:t xml:space="preserve">Ryu, B., Kim, H. M., Lee, J. S., et al. (2016). New flavonol glucuronides from the flower buds of Syzygium aromaticum (clove).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64(15), 3048–3053. </w:t>
      </w:r>
      <w:hyperlink r:id="rId15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Salehi, B., &amp; Sharifi-Rad, J. (2021). Syzygium aromaticum (clove) essential oil: Chemical composition and biological activities. </w:t>
      </w:r>
      <w:r>
        <w:rPr>
          <w:rFonts w:ascii="Times New Roman" w:hAnsi="Times New Roman" w:eastAsia="Times New Roman"/>
          <w:i/>
          <w:color w:val="000000"/>
          <w:sz w:val="24"/>
        </w:rPr>
        <w:t>Applied Sciences</w:t>
      </w:r>
      <w:r>
        <w:rPr>
          <w:rFonts w:ascii="Times New Roman" w:hAnsi="Times New Roman" w:eastAsia="Times New Roman"/>
          <w:color w:val="000000"/>
          <w:sz w:val="24"/>
        </w:rPr>
        <w:t xml:space="preserve">, 11(12), 5432. </w:t>
      </w:r>
      <w:hyperlink r:id="rId154">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Sangkomkamhang, U. S., &amp; Lumbiganon, P. (2021). Nonsteroidal anti-inflammatory drugs for dysmenorrhea.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(5), CD001751. </w:t>
      </w:r>
      <w:hyperlink r:id="rId15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Santin, J. R., Lemos, M., Klein-Júnior, L. C., Niero, R., &amp; de Andrade, S. F. (2011). Gastroprotective activity of essential oil of the Syzygium aromaticum and its major component eugenol in different animal models.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xml:space="preserve">, 383(2), 149–158. </w:t>
      </w:r>
      <w:hyperlink r:id="rId15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Sargin, S. A. (2021). Comparison of herbal medicines used for women's menstruation diseases in different areas of the world.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12, 751207. </w:t>
      </w:r>
      <w:hyperlink r:id="rId15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Sari, I. P., &amp; Sutrisno, S. (2022). Estradiol benzoate and oxytocin-induced primary dysmenorrhea model in mice: A review. </w:t>
      </w:r>
      <w:r>
        <w:rPr>
          <w:rFonts w:ascii="Times New Roman" w:hAnsi="Times New Roman" w:eastAsia="Times New Roman"/>
          <w:i/>
          <w:color w:val="000000"/>
          <w:sz w:val="24"/>
        </w:rPr>
        <w:t>Veterinary World</w:t>
      </w:r>
      <w:r>
        <w:rPr>
          <w:rFonts w:ascii="Times New Roman" w:hAnsi="Times New Roman" w:eastAsia="Times New Roman"/>
          <w:color w:val="000000"/>
          <w:sz w:val="24"/>
        </w:rPr>
        <w:t xml:space="preserve">, 15(3), 684–692. </w:t>
      </w:r>
      <w:hyperlink r:id="rId158">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Sarkar, R., &amp; Das, S. (2023). Eugenol: Mechanisms of anti-inflammatory and analgesic actions.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316, 121361. </w:t>
      </w:r>
      <w:hyperlink r:id="rId159">
        <w:r>
          <w:rPr>
            <w:color w:val="0000FF"/>
            <w:u w:val="single"/>
          </w:rPr>
          <w:t>source</w:t>
        </w:r>
      </w:hyperlink>
    </w:p>
    <w:p>
      <w:pPr>
        <w:spacing w:line="360" w:lineRule="auto" w:after="0"/>
        <w:jc w:val="both"/>
      </w:pPr>
      <w:r>
        <w:rPr>
          <w:rFonts w:ascii="Times New Roman" w:hAnsi="Times New Roman" w:eastAsia="Times New Roman"/>
          <w:color w:val="000000"/>
          <w:sz w:val="24"/>
        </w:rPr>
        <w:t xml:space="preserve">Selles, S. M. A., Kouidri, M., &amp; Belhamiti, B. T. (2020). Chemical composition, in-vitro antibacterial and antioxidant activities of Syzygium aromaticum essential oil. </w:t>
      </w:r>
      <w:r>
        <w:rPr>
          <w:rFonts w:ascii="Times New Roman" w:hAnsi="Times New Roman" w:eastAsia="Times New Roman"/>
          <w:i/>
          <w:color w:val="000000"/>
          <w:sz w:val="24"/>
        </w:rPr>
        <w:t>Journal of Food Measurement and Characterization</w:t>
      </w:r>
      <w:r>
        <w:rPr>
          <w:rFonts w:ascii="Times New Roman" w:hAnsi="Times New Roman" w:eastAsia="Times New Roman"/>
          <w:color w:val="000000"/>
          <w:sz w:val="24"/>
        </w:rPr>
        <w:t xml:space="preserve">, 14, 2352–2360. </w:t>
      </w:r>
      <w:hyperlink r:id="rId160">
        <w:r>
          <w:rPr>
            <w:color w:val="0000FF"/>
            <w:u w:val="single"/>
          </w:rPr>
          <w:t>source</w:t>
        </w:r>
      </w:hyperlink>
    </w:p>
    <w:p>
      <w:pPr>
        <w:spacing w:line="360" w:lineRule="auto" w:after="0"/>
        <w:jc w:val="both"/>
      </w:pPr>
      <w:r>
        <w:rPr>
          <w:rFonts w:ascii="Times New Roman" w:hAnsi="Times New Roman" w:eastAsia="Times New Roman"/>
          <w:color w:val="000000"/>
          <w:sz w:val="24"/>
        </w:rPr>
        <w:t xml:space="preserve">Seo, H., Li, H. Y., Perez-Reyes, E., &amp; Lee, J. H. (2013). Effects of eugenol on T-type Ca2+ channel isoforms.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xml:space="preserve">, 347(2), 310–317. </w:t>
      </w:r>
      <w:hyperlink r:id="rId161">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Shan, B., Cai, Y. Z., Sun, M., &amp; Corke, H. (2005). Antioxidant capacity of 26 spice extracts and characterization of their phenolic constituents.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53(20), 7749–7759. </w:t>
      </w:r>
      <w:hyperlink r:id="rId162">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Sharma, R., &amp; Sharma, S. (2022). Clove: A spice of medicinal importance. </w:t>
      </w:r>
      <w:r>
        <w:rPr>
          <w:rFonts w:ascii="Times New Roman" w:hAnsi="Times New Roman" w:eastAsia="Times New Roman"/>
          <w:i/>
          <w:color w:val="000000"/>
          <w:sz w:val="24"/>
        </w:rPr>
        <w:t>Journal of Food Science and Technology</w:t>
      </w:r>
      <w:r>
        <w:rPr>
          <w:rFonts w:ascii="Times New Roman" w:hAnsi="Times New Roman" w:eastAsia="Times New Roman"/>
          <w:color w:val="000000"/>
          <w:sz w:val="24"/>
        </w:rPr>
        <w:t xml:space="preserve">, 59(3), 847–859. </w:t>
      </w:r>
      <w:hyperlink r:id="rId16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Shen, T., &amp; Li, W. (2021). Effects of eugenol on uterine smooth muscle: Implications for dysmenorrhea treatment.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275, 114152. </w:t>
      </w:r>
      <w:hyperlink r:id="rId164">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Shi, Q., &amp; Jia, G. (2022). Oxytocin-induced uterine contraction model for dysmenorrhea research.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115, 107166. </w:t>
      </w:r>
      <w:hyperlink r:id="rId16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Shin, J. A., &amp; Lee, J. W. (2021). Calcium channel blocking effects of eugenol in smooth muscle cells.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xml:space="preserve">, 378(2), 114–122. </w:t>
      </w:r>
      <w:hyperlink r:id="rId16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Shojaii, A., &amp; Motaghinejad, M. (2022). A systematic review on the analgesic effects of eugenol.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36(3), 1120–1134. </w:t>
      </w:r>
      <w:hyperlink r:id="rId16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Singh, R., &amp; Singh, A. (2021). Toxicity studies of medicinal plants: A comprehensive review of OECD guidelines. </w:t>
      </w:r>
      <w:r>
        <w:rPr>
          <w:rFonts w:ascii="Times New Roman" w:hAnsi="Times New Roman" w:eastAsia="Times New Roman"/>
          <w:i/>
          <w:color w:val="000000"/>
          <w:sz w:val="24"/>
        </w:rPr>
        <w:t>Toxicology Research</w:t>
      </w:r>
      <w:r>
        <w:rPr>
          <w:rFonts w:ascii="Times New Roman" w:hAnsi="Times New Roman" w:eastAsia="Times New Roman"/>
          <w:color w:val="000000"/>
          <w:sz w:val="24"/>
        </w:rPr>
        <w:t xml:space="preserve">, 10(3), 456–470. </w:t>
      </w:r>
      <w:hyperlink r:id="rId168">
        <w:r>
          <w:rPr>
            <w:color w:val="0000FF"/>
            <w:u w:val="single"/>
          </w:rPr>
          <w:t>source</w:t>
        </w:r>
      </w:hyperlink>
    </w:p>
    <w:p>
      <w:pPr>
        <w:spacing w:line="360" w:lineRule="auto" w:after="0"/>
        <w:jc w:val="both"/>
      </w:pPr>
      <w:r>
        <w:rPr>
          <w:rFonts w:ascii="Times New Roman" w:hAnsi="Times New Roman" w:eastAsia="Times New Roman"/>
          <w:color w:val="000000"/>
          <w:sz w:val="24"/>
        </w:rPr>
        <w:t xml:space="preserve">Siqueira, A. P., da Silva, H. B., &amp; Gonçalves, R. C. (2022). Characterization of the vasodilator effect of eugenol in isolated human umbilical cord arteries.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920, 174840. </w:t>
      </w:r>
      <w:hyperlink r:id="rId169">
        <w:r>
          <w:rPr>
            <w:color w:val="0000FF"/>
            <w:u w:val="single"/>
          </w:rPr>
          <w:t>source</w:t>
        </w:r>
      </w:hyperlink>
    </w:p>
    <w:p>
      <w:pPr>
        <w:spacing w:line="360" w:lineRule="auto" w:after="0"/>
        <w:jc w:val="both"/>
      </w:pPr>
      <w:r>
        <w:rPr>
          <w:rFonts w:ascii="Times New Roman" w:hAnsi="Times New Roman" w:eastAsia="Times New Roman"/>
          <w:color w:val="000000"/>
          <w:sz w:val="24"/>
        </w:rPr>
        <w:t xml:space="preserve">Smith, R. P., Kaunitz, A. M., &amp; Barbieri, R. L. (2024). Dysmenorrhea, a Narrative Review of Therapeutic Options. </w:t>
      </w:r>
      <w:r>
        <w:rPr>
          <w:rFonts w:ascii="Times New Roman" w:hAnsi="Times New Roman" w:eastAsia="Times New Roman"/>
          <w:i/>
          <w:color w:val="000000"/>
          <w:sz w:val="24"/>
        </w:rPr>
        <w:t>Cureus</w:t>
      </w:r>
      <w:r>
        <w:rPr>
          <w:rFonts w:ascii="Times New Roman" w:hAnsi="Times New Roman" w:eastAsia="Times New Roman"/>
          <w:color w:val="000000"/>
          <w:sz w:val="24"/>
        </w:rPr>
        <w:t xml:space="preserve">, 16(8). </w:t>
      </w:r>
      <w:hyperlink r:id="rId170">
        <w:r>
          <w:rPr>
            <w:color w:val="0000FF"/>
            <w:u w:val="single"/>
          </w:rPr>
          <w:t>source</w:t>
        </w:r>
      </w:hyperlink>
    </w:p>
    <w:p>
      <w:pPr>
        <w:spacing w:line="360" w:lineRule="auto" w:after="0"/>
        <w:jc w:val="both"/>
      </w:pPr>
      <w:r>
        <w:rPr>
          <w:rFonts w:ascii="Times New Roman" w:hAnsi="Times New Roman" w:eastAsia="Times New Roman"/>
          <w:color w:val="000000"/>
          <w:sz w:val="24"/>
        </w:rPr>
        <w:t xml:space="preserve">Smith, W. L., DeWitt, D. L., &amp; Garavito, R. M. (2000). Cyclooxygenases: Structural, cellular, and molecular biology. </w:t>
      </w:r>
      <w:r>
        <w:rPr>
          <w:rFonts w:ascii="Times New Roman" w:hAnsi="Times New Roman" w:eastAsia="Times New Roman"/>
          <w:i/>
          <w:color w:val="000000"/>
          <w:sz w:val="24"/>
        </w:rPr>
        <w:t>Annual Review of Biochemistry</w:t>
      </w:r>
      <w:r>
        <w:rPr>
          <w:rFonts w:ascii="Times New Roman" w:hAnsi="Times New Roman" w:eastAsia="Times New Roman"/>
          <w:color w:val="000000"/>
          <w:sz w:val="24"/>
        </w:rPr>
        <w:t xml:space="preserve">, 69, 145–182. </w:t>
      </w:r>
      <w:hyperlink r:id="rId171">
        <w:r>
          <w:rPr>
            <w:color w:val="0000FF"/>
            <w:u w:val="single"/>
          </w:rPr>
          <w:t>source</w:t>
        </w:r>
      </w:hyperlink>
    </w:p>
    <w:p>
      <w:pPr>
        <w:spacing w:line="360" w:lineRule="auto" w:after="0"/>
        <w:jc w:val="both"/>
      </w:pPr>
      <w:r>
        <w:rPr>
          <w:rFonts w:ascii="Times New Roman" w:hAnsi="Times New Roman" w:eastAsia="Times New Roman"/>
          <w:color w:val="000000"/>
          <w:sz w:val="24"/>
        </w:rPr>
        <w:t xml:space="preserve">Song, J. Y., Qi, Z. J., &amp; Wang, P. (2025). Endogenous mediators in regulating primary dysmenorrhea. </w:t>
      </w:r>
      <w:r>
        <w:rPr>
          <w:rFonts w:ascii="Times New Roman" w:hAnsi="Times New Roman" w:eastAsia="Times New Roman"/>
          <w:i/>
          <w:color w:val="000000"/>
          <w:sz w:val="24"/>
        </w:rPr>
        <w:t>Frontiers in Cell and Developmental Biology</w:t>
      </w:r>
      <w:r>
        <w:rPr>
          <w:rFonts w:ascii="Times New Roman" w:hAnsi="Times New Roman" w:eastAsia="Times New Roman"/>
          <w:color w:val="000000"/>
          <w:sz w:val="24"/>
        </w:rPr>
        <w:t xml:space="preserve">, 14, 1756355. </w:t>
      </w:r>
      <w:hyperlink r:id="rId172">
        <w:r>
          <w:rPr>
            <w:color w:val="0000FF"/>
            <w:u w:val="single"/>
          </w:rPr>
          <w:t>source</w:t>
        </w:r>
      </w:hyperlink>
    </w:p>
    <w:p>
      <w:pPr>
        <w:spacing w:line="360" w:lineRule="auto" w:after="0"/>
        <w:jc w:val="both"/>
      </w:pPr>
      <w:r>
        <w:rPr>
          <w:rFonts w:ascii="Times New Roman" w:hAnsi="Times New Roman" w:eastAsia="Times New Roman"/>
          <w:color w:val="000000"/>
          <w:sz w:val="24"/>
        </w:rPr>
        <w:t xml:space="preserve">Speroff, L., &amp; Fritz, M. A. (2020). </w:t>
      </w:r>
      <w:r>
        <w:rPr>
          <w:rFonts w:ascii="Times New Roman" w:hAnsi="Times New Roman" w:eastAsia="Times New Roman"/>
          <w:i/>
          <w:color w:val="000000"/>
          <w:sz w:val="24"/>
        </w:rPr>
        <w:t>Clinical Gynecologic Endocrinology and Infertility</w:t>
      </w:r>
      <w:r>
        <w:rPr>
          <w:rFonts w:ascii="Times New Roman" w:hAnsi="Times New Roman" w:eastAsia="Times New Roman"/>
          <w:color w:val="000000"/>
          <w:sz w:val="24"/>
        </w:rPr>
        <w:t xml:space="preserve"> (9th ed.). Lippincott Williams &amp; Wilkins. </w:t>
      </w:r>
      <w:hyperlink r:id="rId17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Srivastava, K. C., &amp; Malhotra, N. (1991). Acetyl eugenol, a component of oil of cloves (Syzygium aromaticum L.) inhibits aggregation and alters arachidonic acid metabolism in human blood platelets.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42(1), 73–81. </w:t>
      </w:r>
      <w:hyperlink r:id="rId174">
        <w:r>
          <w:rPr>
            <w:color w:val="0000FF"/>
            <w:u w:val="single"/>
          </w:rPr>
          <w:t>source</w:t>
        </w:r>
      </w:hyperlink>
      <w:r>
        <w:rPr>
          <w:rFonts w:ascii="Times New Roman" w:hAnsi="Times New Roman" w:eastAsia="Times New Roman"/>
          <w:color w:val="000000"/>
          <w:sz w:val="24"/>
        </w:rPr>
        <w:t>90070-L)</w:t>
      </w:r>
    </w:p>
    <w:p>
      <w:pPr>
        <w:spacing w:line="360" w:lineRule="auto" w:after="0"/>
        <w:jc w:val="both"/>
      </w:pPr>
      <w:r>
        <w:rPr>
          <w:rFonts w:ascii="Times New Roman" w:hAnsi="Times New Roman" w:eastAsia="Times New Roman"/>
          <w:color w:val="000000"/>
          <w:sz w:val="24"/>
        </w:rPr>
        <w:t xml:space="preserve">Strömberg, P., Åkerlund, M., Forsling, M. L., &amp; Kindahl, H. (1984). Vasopressin and prostaglandins in premenstrual pain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63(6), 533–538. </w:t>
      </w:r>
      <w:hyperlink r:id="rId17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Su, Q., &amp; Chen, Y. (2022). Uterine blood flow alterations in primary dysmenorrhea: A Doppler ultrasound study. </w:t>
      </w:r>
      <w:r>
        <w:rPr>
          <w:rFonts w:ascii="Times New Roman" w:hAnsi="Times New Roman" w:eastAsia="Times New Roman"/>
          <w:i/>
          <w:color w:val="000000"/>
          <w:sz w:val="24"/>
        </w:rPr>
        <w:t>Journal of Ultrasound in Medicine</w:t>
      </w:r>
      <w:r>
        <w:rPr>
          <w:rFonts w:ascii="Times New Roman" w:hAnsi="Times New Roman" w:eastAsia="Times New Roman"/>
          <w:color w:val="000000"/>
          <w:sz w:val="24"/>
        </w:rPr>
        <w:t xml:space="preserve">, 41(5), 1123–1131. </w:t>
      </w:r>
      <w:hyperlink r:id="rId17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Szydłowska, I., Nawrocka-Rutkowska, J., Ptak, W., et al. (2020). Primary Dysmenorrhea in Relation to Oxidative Stress and Antioxidant Status: A Systematic Review of Case-Control Studies. </w:t>
      </w:r>
      <w:r>
        <w:rPr>
          <w:rFonts w:ascii="Times New Roman" w:hAnsi="Times New Roman" w:eastAsia="Times New Roman"/>
          <w:i/>
          <w:color w:val="000000"/>
          <w:sz w:val="24"/>
        </w:rPr>
        <w:t>Antioxidants (Basel, Switzerland)</w:t>
      </w:r>
      <w:r>
        <w:rPr>
          <w:rFonts w:ascii="Times New Roman" w:hAnsi="Times New Roman" w:eastAsia="Times New Roman"/>
          <w:color w:val="000000"/>
          <w:sz w:val="24"/>
        </w:rPr>
        <w:t xml:space="preserve">, 9(10), 994. </w:t>
      </w:r>
      <w:hyperlink r:id="rId17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Sánchez, M., &amp; García, M. (2022). Evaluation of acute oral toxicity: OECD guideline 423 in preclinical studies.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116, 107192. </w:t>
      </w:r>
      <w:hyperlink r:id="rId178">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Taher, Y. A., Samud, A. M., El-Taher, F. E., Ben-Hussin, G., Elmezogi, J. S., Al-Mehdawi, B. F., &amp; Salem, H. A. (2015). Experimental evaluation of anti-inflammatory, antinociceptive and antipyretic activities of clove oil in mice. </w:t>
      </w:r>
      <w:r>
        <w:rPr>
          <w:rFonts w:ascii="Times New Roman" w:hAnsi="Times New Roman" w:eastAsia="Times New Roman"/>
          <w:i/>
          <w:color w:val="000000"/>
          <w:sz w:val="24"/>
        </w:rPr>
        <w:t>Libyan Journal of Medicine</w:t>
      </w:r>
      <w:r>
        <w:rPr>
          <w:rFonts w:ascii="Times New Roman" w:hAnsi="Times New Roman" w:eastAsia="Times New Roman"/>
          <w:color w:val="000000"/>
          <w:sz w:val="24"/>
        </w:rPr>
        <w:t xml:space="preserve">, 10(1), 28685. </w:t>
      </w:r>
      <w:hyperlink r:id="rId179">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Tajbakhsh, R., &amp; Jafari, S. (2022). Evaluation of pain in animal models of dysmenorrhea: A methodological review. </w:t>
      </w:r>
      <w:r>
        <w:rPr>
          <w:rFonts w:ascii="Times New Roman" w:hAnsi="Times New Roman" w:eastAsia="Times New Roman"/>
          <w:i/>
          <w:color w:val="000000"/>
          <w:sz w:val="24"/>
        </w:rPr>
        <w:t>Neuroscience and Biobehavioral Reviews</w:t>
      </w:r>
      <w:r>
        <w:rPr>
          <w:rFonts w:ascii="Times New Roman" w:hAnsi="Times New Roman" w:eastAsia="Times New Roman"/>
          <w:color w:val="000000"/>
          <w:sz w:val="24"/>
        </w:rPr>
        <w:t xml:space="preserve">, 138, 104705. </w:t>
      </w:r>
      <w:hyperlink r:id="rId180">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Tajuddin, Ahmad, S., Latif, A., &amp; Qasmi, I. A. (2004). Effect of 50% ethanolic extract of Syzygium aromaticum (L.) Merr. &amp; Perry (clove) on sexual behaviour of normal male rats. </w:t>
      </w:r>
      <w:r>
        <w:rPr>
          <w:rFonts w:ascii="Times New Roman" w:hAnsi="Times New Roman" w:eastAsia="Times New Roman"/>
          <w:i/>
          <w:color w:val="000000"/>
          <w:sz w:val="24"/>
        </w:rPr>
        <w:t>BMC Complementary and Alternative Medicine</w:t>
      </w:r>
      <w:r>
        <w:rPr>
          <w:rFonts w:ascii="Times New Roman" w:hAnsi="Times New Roman" w:eastAsia="Times New Roman"/>
          <w:color w:val="000000"/>
          <w:sz w:val="24"/>
        </w:rPr>
        <w:t xml:space="preserve">, 4, 17. </w:t>
      </w:r>
      <w:hyperlink r:id="rId181">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Tang, Y., &amp; Wang, L. (2023). Prostaglandin F2α in dysmenorrhea: Pathophysiology and therapeutic targeting.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xml:space="preserve">, 164, 106675. </w:t>
      </w:r>
      <w:hyperlink r:id="rId182">
        <w:r>
          <w:rPr>
            <w:color w:val="0000FF"/>
            <w:u w:val="single"/>
          </w:rPr>
          <w:t>source</w:t>
        </w:r>
      </w:hyperlink>
    </w:p>
    <w:p>
      <w:pPr>
        <w:spacing w:line="360" w:lineRule="auto" w:after="0"/>
        <w:jc w:val="both"/>
      </w:pPr>
      <w:r>
        <w:rPr>
          <w:rFonts w:ascii="Times New Roman" w:hAnsi="Times New Roman" w:eastAsia="Times New Roman"/>
          <w:color w:val="000000"/>
          <w:sz w:val="24"/>
        </w:rPr>
        <w:t xml:space="preserve">Tsai, T. H., Huang, W. C., &amp; Chen, C. J. (2017). Clove extract and eugenol suppress inflammatory responses elicited by Propionibacterium acnes in vitro and in vivo. </w:t>
      </w:r>
      <w:r>
        <w:rPr>
          <w:rFonts w:ascii="Times New Roman" w:hAnsi="Times New Roman" w:eastAsia="Times New Roman"/>
          <w:i/>
          <w:color w:val="000000"/>
          <w:sz w:val="24"/>
        </w:rPr>
        <w:t>Food and Agricultural Immunology</w:t>
      </w:r>
      <w:r>
        <w:rPr>
          <w:rFonts w:ascii="Times New Roman" w:hAnsi="Times New Roman" w:eastAsia="Times New Roman"/>
          <w:color w:val="000000"/>
          <w:sz w:val="24"/>
        </w:rPr>
        <w:t xml:space="preserve">, 28(5), 874–886. </w:t>
      </w:r>
      <w:hyperlink r:id="rId183">
        <w:r>
          <w:rPr>
            <w:color w:val="0000FF"/>
            <w:u w:val="single"/>
          </w:rPr>
          <w:t>source</w:t>
        </w:r>
      </w:hyperlink>
    </w:p>
    <w:p>
      <w:pPr>
        <w:spacing w:line="360" w:lineRule="auto" w:after="0"/>
        <w:jc w:val="both"/>
      </w:pPr>
      <w:r>
        <w:rPr>
          <w:rFonts w:ascii="Times New Roman" w:hAnsi="Times New Roman" w:eastAsia="Times New Roman"/>
          <w:color w:val="000000"/>
          <w:sz w:val="24"/>
        </w:rPr>
        <w:t xml:space="preserve">Uysal, M., &amp; Ustun, O. (2022). Essential oil composition of Syzygium aromaticum from Turkey.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xml:space="preserve">, 34(2), 156–163. </w:t>
      </w:r>
      <w:hyperlink r:id="rId184">
        <w:r>
          <w:rPr>
            <w:color w:val="0000FF"/>
            <w:u w:val="single"/>
          </w:rPr>
          <w:t>source</w:t>
        </w:r>
      </w:hyperlink>
    </w:p>
    <w:p>
      <w:pPr>
        <w:spacing w:line="360" w:lineRule="auto" w:after="0"/>
        <w:jc w:val="both"/>
      </w:pPr>
      <w:r>
        <w:rPr>
          <w:rFonts w:ascii="Times New Roman" w:hAnsi="Times New Roman" w:eastAsia="Times New Roman"/>
          <w:color w:val="000000"/>
          <w:sz w:val="24"/>
        </w:rPr>
        <w:t xml:space="preserve">Vane, J. R., Bakhle, Y. S., &amp; Botting, R. M. (1998). Cyclooxygenases 1 and 2. </w:t>
      </w:r>
      <w:r>
        <w:rPr>
          <w:rFonts w:ascii="Times New Roman" w:hAnsi="Times New Roman" w:eastAsia="Times New Roman"/>
          <w:i/>
          <w:color w:val="000000"/>
          <w:sz w:val="24"/>
        </w:rPr>
        <w:t>Annual Review of Pharmacology and Toxicology</w:t>
      </w:r>
      <w:r>
        <w:rPr>
          <w:rFonts w:ascii="Times New Roman" w:hAnsi="Times New Roman" w:eastAsia="Times New Roman"/>
          <w:color w:val="000000"/>
          <w:sz w:val="24"/>
        </w:rPr>
        <w:t xml:space="preserve">, 38, 97–120. </w:t>
      </w:r>
      <w:hyperlink r:id="rId185">
        <w:r>
          <w:rPr>
            <w:color w:val="0000FF"/>
            <w:u w:val="single"/>
          </w:rPr>
          <w:t>source</w:t>
        </w:r>
      </w:hyperlink>
    </w:p>
    <w:p>
      <w:pPr>
        <w:spacing w:line="360" w:lineRule="auto" w:after="0"/>
        <w:jc w:val="both"/>
      </w:pPr>
      <w:r>
        <w:rPr>
          <w:rFonts w:ascii="Times New Roman" w:hAnsi="Times New Roman" w:eastAsia="Times New Roman"/>
          <w:color w:val="000000"/>
          <w:sz w:val="24"/>
        </w:rPr>
        <w:t xml:space="preserve">Vardhan, H., &amp; Shukla, R. (2022). Clove (Syzygium aromaticum) oil: GC-MS profiling and bioactivity evaluation.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25(2), 289–301. </w:t>
      </w:r>
      <w:hyperlink r:id="rId186">
        <w:r>
          <w:rPr>
            <w:color w:val="0000FF"/>
            <w:u w:val="single"/>
          </w:rPr>
          <w:t>source</w:t>
        </w:r>
      </w:hyperlink>
    </w:p>
    <w:p>
      <w:pPr>
        <w:spacing w:line="360" w:lineRule="auto" w:after="0"/>
        <w:jc w:val="both"/>
      </w:pPr>
      <w:r>
        <w:rPr>
          <w:rFonts w:ascii="Times New Roman" w:hAnsi="Times New Roman" w:eastAsia="Times New Roman"/>
          <w:color w:val="000000"/>
          <w:sz w:val="24"/>
        </w:rPr>
        <w:t xml:space="preserve">Wan, Q., &amp; Yao, L. (2021). Cyclooxygenase-2 in dysmenorrhea: Expression and regulation. </w:t>
      </w:r>
      <w:r>
        <w:rPr>
          <w:rFonts w:ascii="Times New Roman" w:hAnsi="Times New Roman" w:eastAsia="Times New Roman"/>
          <w:i/>
          <w:color w:val="000000"/>
          <w:sz w:val="24"/>
        </w:rPr>
        <w:t>Journal of Endocrinology</w:t>
      </w:r>
      <w:r>
        <w:rPr>
          <w:rFonts w:ascii="Times New Roman" w:hAnsi="Times New Roman" w:eastAsia="Times New Roman"/>
          <w:color w:val="000000"/>
          <w:sz w:val="24"/>
        </w:rPr>
        <w:t xml:space="preserve">, 249(2), R15–R26. </w:t>
      </w:r>
      <w:hyperlink r:id="rId187">
        <w:r>
          <w:rPr>
            <w:color w:val="0000FF"/>
            <w:u w:val="single"/>
          </w:rPr>
          <w:t>source</w:t>
        </w:r>
      </w:hyperlink>
    </w:p>
    <w:p>
      <w:pPr>
        <w:spacing w:line="360" w:lineRule="auto" w:after="0"/>
        <w:jc w:val="both"/>
      </w:pPr>
      <w:r>
        <w:rPr>
          <w:rFonts w:ascii="Times New Roman" w:hAnsi="Times New Roman" w:eastAsia="Times New Roman"/>
          <w:color w:val="000000"/>
          <w:sz w:val="24"/>
        </w:rPr>
        <w:t xml:space="preserve">Wang, B., Wu, L., Chen, J., Dong, L., Chen, C., Wen, Z., Hu, J., Fleming, I., &amp; Wang, D. W. (2021). Metabolism pathways of arachidonic acids: Mechanisms and potential therapeutic targets. </w:t>
      </w:r>
      <w:r>
        <w:rPr>
          <w:rFonts w:ascii="Times New Roman" w:hAnsi="Times New Roman" w:eastAsia="Times New Roman"/>
          <w:i/>
          <w:color w:val="000000"/>
          <w:sz w:val="24"/>
        </w:rPr>
        <w:t>Signal Transduction and Targeted Therapy</w:t>
      </w:r>
      <w:r>
        <w:rPr>
          <w:rFonts w:ascii="Times New Roman" w:hAnsi="Times New Roman" w:eastAsia="Times New Roman"/>
          <w:color w:val="000000"/>
          <w:sz w:val="24"/>
        </w:rPr>
        <w:t xml:space="preserve">, 6, 94. </w:t>
      </w:r>
      <w:hyperlink r:id="rId188">
        <w:r>
          <w:rPr>
            <w:color w:val="0000FF"/>
            <w:u w:val="single"/>
          </w:rPr>
          <w:t>source</w:t>
        </w:r>
      </w:hyperlink>
    </w:p>
    <w:p>
      <w:pPr>
        <w:spacing w:line="360" w:lineRule="auto" w:after="0"/>
        <w:jc w:val="both"/>
      </w:pPr>
      <w:r>
        <w:rPr>
          <w:rFonts w:ascii="Times New Roman" w:hAnsi="Times New Roman" w:eastAsia="Times New Roman"/>
          <w:color w:val="000000"/>
          <w:sz w:val="24"/>
        </w:rPr>
        <w:t xml:space="preserve">Wong, C. L., Farquhar, C., Roberts, H., &amp; Proctor, M. (2009). Oral contraceptive pill for primary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(4), CD002120. </w:t>
      </w:r>
      <w:hyperlink r:id="rId189">
        <w:r>
          <w:rPr>
            <w:color w:val="0000FF"/>
            <w:u w:val="single"/>
          </w:rPr>
          <w:t>source</w:t>
        </w:r>
      </w:hyperlink>
    </w:p>
    <w:p>
      <w:pPr>
        <w:spacing w:line="360" w:lineRule="auto" w:after="0"/>
        <w:jc w:val="both"/>
      </w:pPr>
      <w:r>
        <w:rPr>
          <w:rFonts w:ascii="Times New Roman" w:hAnsi="Times New Roman" w:eastAsia="Times New Roman"/>
          <w:color w:val="000000"/>
          <w:sz w:val="24"/>
        </w:rPr>
        <w:t xml:space="preserve">Xu, H., &amp; Zhang, J. (2023). Evaluation of smooth muscle relaxants in isolated tissue baths: Methodology and applications.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121, 107213. </w:t>
      </w:r>
      <w:hyperlink r:id="rId190">
        <w:r>
          <w:rPr>
            <w:color w:val="0000FF"/>
            <w:u w:val="single"/>
          </w:rPr>
          <w:t>source</w:t>
        </w:r>
      </w:hyperlink>
    </w:p>
    <w:p>
      <w:pPr>
        <w:spacing w:line="360" w:lineRule="auto" w:after="0"/>
        <w:jc w:val="both"/>
      </w:pPr>
      <w:r>
        <w:rPr>
          <w:rFonts w:ascii="Times New Roman" w:hAnsi="Times New Roman" w:eastAsia="Times New Roman"/>
          <w:color w:val="000000"/>
          <w:sz w:val="24"/>
        </w:rPr>
        <w:t xml:space="preserve">Xue, Q., Xiang, Z., Wang, S., et al. (2022). Recent advances in nutritional composition, phytochemistry, bioactive, and potential applications of Syzygium aromaticum L. (Myrtaceae). </w:t>
      </w:r>
      <w:r>
        <w:rPr>
          <w:rFonts w:ascii="Times New Roman" w:hAnsi="Times New Roman" w:eastAsia="Times New Roman"/>
          <w:i/>
          <w:color w:val="000000"/>
          <w:sz w:val="24"/>
        </w:rPr>
        <w:t>Frontiers in Nutrition</w:t>
      </w:r>
      <w:r>
        <w:rPr>
          <w:rFonts w:ascii="Times New Roman" w:hAnsi="Times New Roman" w:eastAsia="Times New Roman"/>
          <w:color w:val="000000"/>
          <w:sz w:val="24"/>
        </w:rPr>
        <w:t xml:space="preserve">, 9, 1002147. </w:t>
      </w:r>
      <w:hyperlink r:id="rId191">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Yamaguchi, G., &amp; Takenaga, M. (2022). Eugenol: A natural compound with multiple pharmacological actions. </w:t>
      </w:r>
      <w:r>
        <w:rPr>
          <w:rFonts w:ascii="Times New Roman" w:hAnsi="Times New Roman" w:eastAsia="Times New Roman"/>
          <w:i/>
          <w:color w:val="000000"/>
          <w:sz w:val="24"/>
        </w:rPr>
        <w:t>Yakugaku Zasshi</w:t>
      </w:r>
      <w:r>
        <w:rPr>
          <w:rFonts w:ascii="Times New Roman" w:hAnsi="Times New Roman" w:eastAsia="Times New Roman"/>
          <w:color w:val="000000"/>
          <w:sz w:val="24"/>
        </w:rPr>
        <w:t xml:space="preserve">, 142(5), 501–512. </w:t>
      </w:r>
      <w:hyperlink r:id="rId192">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Yang, L., Cao, Z., &amp; Wu, Y. (2015). An in vivo mouse model of primary dysmenorrhea. </w:t>
      </w:r>
      <w:r>
        <w:rPr>
          <w:rFonts w:ascii="Times New Roman" w:hAnsi="Times New Roman" w:eastAsia="Times New Roman"/>
          <w:i/>
          <w:color w:val="000000"/>
          <w:sz w:val="24"/>
        </w:rPr>
        <w:t>Experimental Animals</w:t>
      </w:r>
      <w:r>
        <w:rPr>
          <w:rFonts w:ascii="Times New Roman" w:hAnsi="Times New Roman" w:eastAsia="Times New Roman"/>
          <w:color w:val="000000"/>
          <w:sz w:val="24"/>
        </w:rPr>
        <w:t xml:space="preserve">, 64(3), 295–303. </w:t>
      </w:r>
      <w:hyperlink r:id="rId193">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Yang, L., Chai, C. Z., Yue, X. Y., Yan, Y., Kou, J. P., Cao, Z. Y., &amp; Yu, B. Y. (2016). Ge-Gen Decoction attenuates oxytocin-induced uterine contraction and writhing response: Potential application in primary dysmenorrhea therapy. </w:t>
      </w:r>
      <w:r>
        <w:rPr>
          <w:rFonts w:ascii="Times New Roman" w:hAnsi="Times New Roman" w:eastAsia="Times New Roman"/>
          <w:i/>
          <w:color w:val="000000"/>
          <w:sz w:val="24"/>
        </w:rPr>
        <w:t>Chinese Journal of Natural Medicines</w:t>
      </w:r>
      <w:r>
        <w:rPr>
          <w:rFonts w:ascii="Times New Roman" w:hAnsi="Times New Roman" w:eastAsia="Times New Roman"/>
          <w:color w:val="000000"/>
          <w:sz w:val="24"/>
        </w:rPr>
        <w:t xml:space="preserve">, 14(2), 124–132. </w:t>
      </w:r>
      <w:hyperlink r:id="rId194">
        <w:r>
          <w:rPr>
            <w:color w:val="0000FF"/>
            <w:u w:val="single"/>
          </w:rPr>
          <w:t>source</w:t>
        </w:r>
      </w:hyperlink>
      <w:r>
        <w:rPr>
          <w:rFonts w:ascii="Times New Roman" w:hAnsi="Times New Roman" w:eastAsia="Times New Roman"/>
          <w:color w:val="000000"/>
          <w:sz w:val="24"/>
        </w:rPr>
        <w:t>60005-5)</w:t>
      </w:r>
    </w:p>
    <w:p>
      <w:pPr>
        <w:spacing w:line="360" w:lineRule="auto" w:after="0"/>
        <w:jc w:val="both"/>
      </w:pPr>
      <w:r>
        <w:rPr>
          <w:rFonts w:ascii="Times New Roman" w:hAnsi="Times New Roman" w:eastAsia="Times New Roman"/>
          <w:color w:val="000000"/>
          <w:sz w:val="24"/>
        </w:rPr>
        <w:t xml:space="preserve">Yavuz, E., &amp; Bayram, B. (2021). Chemical composition of Syzygium aromaticum essential oil and antioxidant capacity.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24(3), 478–487.</w:t>
      </w:r>
    </w:p>
    <w:p>
      <w:pPr>
        <w:spacing w:line="360" w:lineRule="auto" w:after="0"/>
        <w:jc w:val="both"/>
      </w:pPr>
      <w:r>
        <w:rPr>
          <w:rFonts w:ascii="Times New Roman" w:hAnsi="Times New Roman" w:eastAsia="Times New Roman"/>
          <w:color w:val="000000"/>
          <w:sz w:val="24"/>
        </w:rPr>
        <w:t xml:space="preserve">Yeh, H. Y., &amp; Chang, C. H. (2020). Eugenol attenuates inflammatory response in lipopolysaccharide-activated macrophages.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xml:space="preserve">, 23(10), 1063–1070. </w:t>
      </w:r>
      <w:hyperlink r:id="rId195">
        <w:r>
          <w:rPr>
            <w:color w:val="0000FF"/>
            <w:u w:val="single"/>
          </w:rPr>
          <w:t>source</w:t>
        </w:r>
      </w:hyperlink>
    </w:p>
    <w:p>
      <w:pPr>
        <w:spacing w:line="360" w:lineRule="auto" w:after="0"/>
        <w:jc w:val="both"/>
      </w:pPr>
      <w:r>
        <w:rPr>
          <w:rFonts w:ascii="Times New Roman" w:hAnsi="Times New Roman" w:eastAsia="Times New Roman"/>
          <w:color w:val="000000"/>
          <w:sz w:val="24"/>
        </w:rPr>
        <w:t xml:space="preserve">Yeh, J. L., Hsu, J. H., Hong, Y. S., Wu, J. R., Liang, J. C., Wu, B. N., Chen, I. J., &amp; Liou, S. F. (2011). Eugenolol and glyceryl-isoeugenol suppress LPS-induced iNOS expression by down-regulating NF-κB and AP-1 through inhibition of MAPKs and Akt/IκBα signaling pathways in macrophages. </w:t>
      </w:r>
      <w:r>
        <w:rPr>
          <w:rFonts w:ascii="Times New Roman" w:hAnsi="Times New Roman" w:eastAsia="Times New Roman"/>
          <w:i/>
          <w:color w:val="000000"/>
          <w:sz w:val="24"/>
        </w:rPr>
        <w:t>International Journal of Immunopathology and Pharmacology</w:t>
      </w:r>
      <w:r>
        <w:rPr>
          <w:rFonts w:ascii="Times New Roman" w:hAnsi="Times New Roman" w:eastAsia="Times New Roman"/>
          <w:color w:val="000000"/>
          <w:sz w:val="24"/>
        </w:rPr>
        <w:t xml:space="preserve">, 24(2), 345–356. </w:t>
      </w:r>
      <w:hyperlink r:id="rId196">
        <w:r>
          <w:rPr>
            <w:color w:val="0000FF"/>
            <w:u w:val="single"/>
          </w:rPr>
          <w:t>source</w:t>
        </w:r>
      </w:hyperlink>
    </w:p>
    <w:p>
      <w:pPr>
        <w:spacing w:line="360" w:lineRule="auto" w:after="0"/>
        <w:jc w:val="both"/>
      </w:pPr>
      <w:r>
        <w:rPr>
          <w:rFonts w:ascii="Times New Roman" w:hAnsi="Times New Roman" w:eastAsia="Times New Roman"/>
          <w:color w:val="000000"/>
          <w:sz w:val="24"/>
        </w:rPr>
        <w:t xml:space="preserve">Ylikorkala, O., &amp; Dawood, M. Y. (1978). New concepts in dysmenorrhea.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130(7), 833–847. </w:t>
      </w:r>
      <w:hyperlink r:id="rId197">
        <w:r>
          <w:rPr>
            <w:color w:val="0000FF"/>
            <w:u w:val="single"/>
          </w:rPr>
          <w:t>source</w:t>
        </w:r>
      </w:hyperlink>
      <w:r>
        <w:rPr>
          <w:rFonts w:ascii="Times New Roman" w:hAnsi="Times New Roman" w:eastAsia="Times New Roman"/>
          <w:color w:val="000000"/>
          <w:sz w:val="24"/>
        </w:rPr>
        <w:t>90019-4)</w:t>
      </w:r>
    </w:p>
    <w:p>
      <w:pPr>
        <w:spacing w:line="360" w:lineRule="auto" w:after="0"/>
        <w:jc w:val="both"/>
      </w:pPr>
      <w:r>
        <w:rPr>
          <w:rFonts w:ascii="Times New Roman" w:hAnsi="Times New Roman" w:eastAsia="Times New Roman"/>
          <w:color w:val="000000"/>
          <w:sz w:val="24"/>
        </w:rPr>
        <w:t xml:space="preserve">Yogalakshmi, B., Viswanathan, P., &amp; Anuradha, C. V. (2010). Investigation of antioxidant, anti-inflammatory and DNA-protective properties of eugenol in thioacetamide-induced liver injury in rats. </w:t>
      </w:r>
      <w:r>
        <w:rPr>
          <w:rFonts w:ascii="Times New Roman" w:hAnsi="Times New Roman" w:eastAsia="Times New Roman"/>
          <w:i/>
          <w:color w:val="000000"/>
          <w:sz w:val="24"/>
        </w:rPr>
        <w:t>Toxicology</w:t>
      </w:r>
      <w:r>
        <w:rPr>
          <w:rFonts w:ascii="Times New Roman" w:hAnsi="Times New Roman" w:eastAsia="Times New Roman"/>
          <w:color w:val="000000"/>
          <w:sz w:val="24"/>
        </w:rPr>
        <w:t xml:space="preserve">, 268(3), 204–212. </w:t>
      </w:r>
      <w:hyperlink r:id="rId198">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Zhang, C., &amp; Liang, J. (2022). Eugenol modifies uterine contractility and pain signaling: Potential for primary dysmenorrhea. </w:t>
      </w:r>
      <w:r>
        <w:rPr>
          <w:rFonts w:ascii="Times New Roman" w:hAnsi="Times New Roman" w:eastAsia="Times New Roman"/>
          <w:i/>
          <w:color w:val="000000"/>
          <w:sz w:val="24"/>
        </w:rPr>
        <w:t>Phytomedicine</w:t>
      </w:r>
      <w:r>
        <w:rPr>
          <w:rFonts w:ascii="Times New Roman" w:hAnsi="Times New Roman" w:eastAsia="Times New Roman"/>
          <w:color w:val="000000"/>
          <w:sz w:val="24"/>
        </w:rPr>
        <w:t xml:space="preserve">, 102, 154178. </w:t>
      </w:r>
      <w:hyperlink r:id="rId199">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Zhang, J., &amp; Wang, Y. (2021). TRPV1 and pain modulation: Role of eugenol in dysmenorrhea.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xml:space="preserve">, 14, 2167–2176. </w:t>
      </w:r>
      <w:hyperlink r:id="rId200">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Zheng, G. Q., Kenney, P. M., &amp; Lam, L. K. (1992). Sesquiterpenes from clove (Eugenia caryophyllata) as potential anticarcinogenic agents.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xml:space="preserve">, 55(7), 999–1003. </w:t>
      </w:r>
      <w:hyperlink r:id="rId201">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Zhong, F., &amp; Li, G. (2022). The role of vasopressin and oxytocin in primary dysmenorrhea. </w:t>
      </w:r>
      <w:r>
        <w:rPr>
          <w:rFonts w:ascii="Times New Roman" w:hAnsi="Times New Roman" w:eastAsia="Times New Roman"/>
          <w:i/>
          <w:color w:val="000000"/>
          <w:sz w:val="24"/>
        </w:rPr>
        <w:t>Frontiers in Endocrinology</w:t>
      </w:r>
      <w:r>
        <w:rPr>
          <w:rFonts w:ascii="Times New Roman" w:hAnsi="Times New Roman" w:eastAsia="Times New Roman"/>
          <w:color w:val="000000"/>
          <w:sz w:val="24"/>
        </w:rPr>
        <w:t xml:space="preserve">, 13, 887142. </w:t>
      </w:r>
      <w:hyperlink r:id="rId202">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Zhong, Y., Wang, H., &amp; Wang, Y. (2025). Effects of ethnic medicinal plant extracts versus nonsteroidal anti-inflammatory drugs on menstrual pain in women with primary dysmenorrhea: A systematic review and meta-analysis. </w:t>
      </w:r>
      <w:r>
        <w:rPr>
          <w:rFonts w:ascii="Times New Roman" w:hAnsi="Times New Roman" w:eastAsia="Times New Roman"/>
          <w:i/>
          <w:color w:val="000000"/>
          <w:sz w:val="24"/>
        </w:rPr>
        <w:t>Pain Management Nursing</w:t>
      </w:r>
      <w:r>
        <w:rPr>
          <w:rFonts w:ascii="Times New Roman" w:hAnsi="Times New Roman" w:eastAsia="Times New Roman"/>
          <w:color w:val="000000"/>
          <w:sz w:val="24"/>
        </w:rPr>
        <w:t xml:space="preserve">, 26(2), e98–e108. </w:t>
      </w:r>
      <w:hyperlink r:id="rId203">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 Silva, F. F., Monteiro, A. F., de Oliveira, L. A. S., &amp; Scotti, M. T. (2020). Computational analysis of eugenol inhibitory activity in lipoxygenase and cyclooxygenase pathways. </w:t>
      </w:r>
      <w:r>
        <w:rPr>
          <w:rFonts w:ascii="Times New Roman" w:hAnsi="Times New Roman" w:eastAsia="Times New Roman"/>
          <w:i/>
          <w:color w:val="000000"/>
          <w:sz w:val="24"/>
        </w:rPr>
        <w:t>Scientific Reports</w:t>
      </w:r>
      <w:r>
        <w:rPr>
          <w:rFonts w:ascii="Times New Roman" w:hAnsi="Times New Roman" w:eastAsia="Times New Roman"/>
          <w:color w:val="000000"/>
          <w:sz w:val="24"/>
        </w:rPr>
        <w:t xml:space="preserve">, 10, 16234. </w:t>
      </w:r>
      <w:hyperlink r:id="rId204">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Carvalho, F. V., Ribeiro, P. R., &amp; Furlan, M. R. (2020). Eugenol and its role in chronic diseases. </w:t>
      </w:r>
      <w:r>
        <w:rPr>
          <w:rFonts w:ascii="Times New Roman" w:hAnsi="Times New Roman" w:eastAsia="Times New Roman"/>
          <w:i/>
          <w:color w:val="000000"/>
          <w:sz w:val="24"/>
        </w:rPr>
        <w:t>Advances in Experimental Medicine and Biology</w:t>
      </w:r>
      <w:r>
        <w:rPr>
          <w:rFonts w:ascii="Times New Roman" w:hAnsi="Times New Roman" w:eastAsia="Times New Roman"/>
          <w:color w:val="000000"/>
          <w:sz w:val="24"/>
        </w:rPr>
        <w:t xml:space="preserve">, 1260, 127–142. </w:t>
      </w:r>
      <w:hyperlink r:id="rId205">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Cássia da Silveira e Sá, R., Andrade, L. N., &amp; de Sousa, D. P. (2019). A review on anti-inflammatory activity of monoterpenes.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24(9), 1675. </w:t>
      </w:r>
      <w:hyperlink r:id="rId206">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Oliveira, J. D., Camargo, L. E. A., &amp; Bicas, J. L. (2018). An overview on the anti-inflammatory potential and antioxidant profile of eugenol. </w:t>
      </w:r>
      <w:r>
        <w:rPr>
          <w:rFonts w:ascii="Times New Roman" w:hAnsi="Times New Roman" w:eastAsia="Times New Roman"/>
          <w:i/>
          <w:color w:val="000000"/>
          <w:sz w:val="24"/>
        </w:rPr>
        <w:t>Oxidative Medicine and Cellular Longevity</w:t>
      </w:r>
      <w:r>
        <w:rPr>
          <w:rFonts w:ascii="Times New Roman" w:hAnsi="Times New Roman" w:eastAsia="Times New Roman"/>
          <w:color w:val="000000"/>
          <w:sz w:val="24"/>
        </w:rPr>
        <w:t xml:space="preserve">, 2018, 3957262. </w:t>
      </w:r>
      <w:hyperlink r:id="rId207">
        <w:r>
          <w:rPr>
            <w:color w:val="0000FF"/>
            <w:u w:val="single"/>
          </w:rPr>
          <w:t>source</w:t>
        </w:r>
      </w:hyperlink>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4314/ajtcam.v6i3.57162" TargetMode="External"/><Relationship Id="rId11" Type="http://schemas.openxmlformats.org/officeDocument/2006/relationships/hyperlink" Target="https://doi.org/10.3109/00016347909157790" TargetMode="External"/><Relationship Id="rId12" Type="http://schemas.openxmlformats.org/officeDocument/2006/relationships/hyperlink" Target="https://doi.org/10.1515/znc-2022-0120" TargetMode="External"/><Relationship Id="rId13" Type="http://schemas.openxmlformats.org/officeDocument/2006/relationships/hyperlink" Target="https://doi.org/10.15376/biores.2.2.265-269" TargetMode="External"/><Relationship Id="rId14" Type="http://schemas.openxmlformats.org/officeDocument/2006/relationships/hyperlink" Target="https://doi.org/10.1186/s12905-018-0532-1" TargetMode="External"/><Relationship Id="rId15" Type="http://schemas.openxmlformats.org/officeDocument/2006/relationships/hyperlink" Target="https://doi.org/10.1097/AOG.0000000000002978" TargetMode="External"/><Relationship Id="rId16" Type="http://schemas.openxmlformats.org/officeDocument/2006/relationships/hyperlink" Target="https://doi.org/10.36858/jkds.v6i2.120" TargetMode="External"/><Relationship Id="rId17" Type="http://schemas.openxmlformats.org/officeDocument/2006/relationships/hyperlink" Target="https://doi.org/10.1002/ptr.2650020305" TargetMode="External"/><Relationship Id="rId18" Type="http://schemas.openxmlformats.org/officeDocument/2006/relationships/hyperlink" Target="https://doi.org/10.1016/j.bjp.2018.03.010" TargetMode="External"/><Relationship Id="rId19" Type="http://schemas.openxmlformats.org/officeDocument/2006/relationships/hyperlink" Target="https://doi.org/10.1111/j.2042-7158.2011.01440.x" TargetMode="External"/><Relationship Id="rId20" Type="http://schemas.openxmlformats.org/officeDocument/2006/relationships/hyperlink" Target="https://doi.org/10.3390/jcm9051454" TargetMode="External"/><Relationship Id="rId21" Type="http://schemas.openxmlformats.org/officeDocument/2006/relationships/hyperlink" Target="https://doi.org/10.3390/biom10020202" TargetMode="External"/><Relationship Id="rId22" Type="http://schemas.openxmlformats.org/officeDocument/2006/relationships/hyperlink" Target="https://doi.org/10.25081/josac.2022.v31.i1.7508" TargetMode="External"/><Relationship Id="rId23" Type="http://schemas.openxmlformats.org/officeDocument/2006/relationships/hyperlink" Target="https://doi.org/10.1016/j.jogc.2016.12.023" TargetMode="External"/><Relationship Id="rId24" Type="http://schemas.openxmlformats.org/officeDocument/2006/relationships/hyperlink" Target="https://doi.org/10.1021/np960451q" TargetMode="External"/><Relationship Id="rId25" Type="http://schemas.openxmlformats.org/officeDocument/2006/relationships/hyperlink" Target="https://doi.org/10.1002/ptr.2124" TargetMode="External"/><Relationship Id="rId26" Type="http://schemas.openxmlformats.org/officeDocument/2006/relationships/hyperlink" Target="https://doi.org/10.1016/0002-9378(79" TargetMode="External"/><Relationship Id="rId27" Type="http://schemas.openxmlformats.org/officeDocument/2006/relationships/hyperlink" Target="https://doi.org/10.1016/S1537-1891(02" TargetMode="External"/><Relationship Id="rId28" Type="http://schemas.openxmlformats.org/officeDocument/2006/relationships/hyperlink" Target="https://doi.org/10.1590/S0102-695X2009000200006" TargetMode="External"/><Relationship Id="rId29" Type="http://schemas.openxmlformats.org/officeDocument/2006/relationships/hyperlink" Target="https://doi.org/10.1016/S0002-9343(84" TargetMode="External"/><Relationship Id="rId30" Type="http://schemas.openxmlformats.org/officeDocument/2006/relationships/hyperlink" Target="https://doi.org/10.1097/01.AOG.0000230214.26638.0c" TargetMode="External"/><Relationship Id="rId31" Type="http://schemas.openxmlformats.org/officeDocument/2006/relationships/hyperlink" Target="https://pubmed.ncbi.nlm.nih.gov/26841639/" TargetMode="External"/><Relationship Id="rId32" Type="http://schemas.openxmlformats.org/officeDocument/2006/relationships/hyperlink" Target="https://doi.org/10.3389/fphar.2021.793200" TargetMode="External"/><Relationship Id="rId33" Type="http://schemas.openxmlformats.org/officeDocument/2006/relationships/hyperlink" Target="https://doi.org/10.3923/rjmp.2015.264.274" TargetMode="External"/><Relationship Id="rId34" Type="http://schemas.openxmlformats.org/officeDocument/2006/relationships/hyperlink" Target="https://doi.org/10.1097/MD.0000000000026633" TargetMode="External"/><Relationship Id="rId35" Type="http://schemas.openxmlformats.org/officeDocument/2006/relationships/hyperlink" Target="https://doi.org/10.1046/j.1365-2672.2000.00969.x" TargetMode="External"/><Relationship Id="rId36" Type="http://schemas.openxmlformats.org/officeDocument/2006/relationships/hyperlink" Target="https://doi.org/10.3390/ph17010045" TargetMode="External"/><Relationship Id="rId37" Type="http://schemas.openxmlformats.org/officeDocument/2006/relationships/hyperlink" Target="https://doi.org/10.1080/01443615.2021.2004104" TargetMode="External"/><Relationship Id="rId38" Type="http://schemas.openxmlformats.org/officeDocument/2006/relationships/hyperlink" Target="https://doi.org/10.1080/0972060X.2020.1794994" TargetMode="External"/><Relationship Id="rId39" Type="http://schemas.openxmlformats.org/officeDocument/2006/relationships/hyperlink" Target="https://doi.org/10.1111/j.1463-1318.2006.01185.x" TargetMode="External"/><Relationship Id="rId40" Type="http://schemas.openxmlformats.org/officeDocument/2006/relationships/hyperlink" Target="https://doi.org/10.1186/s12906-022-03619-9" TargetMode="External"/><Relationship Id="rId41" Type="http://schemas.openxmlformats.org/officeDocument/2006/relationships/hyperlink" Target="https://www.ema.europa.eu/en/documents/herbal-report/final-assessment-report-syzygium-aromaticum-l-merill-et-lm-perry-flos-and-syzygium-aromaticum-l-merill-et-lm-perry-floris-aetheroleum_en.pdf" TargetMode="External"/><Relationship Id="rId42" Type="http://schemas.openxmlformats.org/officeDocument/2006/relationships/hyperlink" Target="https://doi.org/10.30442/ahr.0701-07-116" TargetMode="External"/><Relationship Id="rId43" Type="http://schemas.openxmlformats.org/officeDocument/2006/relationships/hyperlink" Target="https://doi.org/10.3389/fphar.2023.1185412" TargetMode="External"/><Relationship Id="rId44" Type="http://schemas.openxmlformats.org/officeDocument/2006/relationships/hyperlink" Target="https://doi.org/10.1177/1744806918770320" TargetMode="External"/><Relationship Id="rId45" Type="http://schemas.openxmlformats.org/officeDocument/2006/relationships/hyperlink" Target="https://doi.org/10.1097/AOG.0000000000004096" TargetMode="External"/><Relationship Id="rId46" Type="http://schemas.openxmlformats.org/officeDocument/2006/relationships/hyperlink" Target="https://doi.org/10.3109/00498259009046865" TargetMode="External"/><Relationship Id="rId47" Type="http://schemas.openxmlformats.org/officeDocument/2006/relationships/hyperlink" Target="https://doi.org/10.1038/nrd1034" TargetMode="External"/><Relationship Id="rId48" Type="http://schemas.openxmlformats.org/officeDocument/2006/relationships/hyperlink" Target="https://doi.org/10.1034/j.1600-0412.2002.811202.x" TargetMode="External"/><Relationship Id="rId49" Type="http://schemas.openxmlformats.org/officeDocument/2006/relationships/hyperlink" Target="https://doi.org/10.2174/1389557518666181022120248" TargetMode="External"/><Relationship Id="rId50" Type="http://schemas.openxmlformats.org/officeDocument/2006/relationships/hyperlink" Target="https://doi.org/10.1093/jhmas/jrab001" TargetMode="External"/><Relationship Id="rId51" Type="http://schemas.openxmlformats.org/officeDocument/2006/relationships/hyperlink" Target="https://doi.org/10.1080/14786419.2021.1903019" TargetMode="External"/><Relationship Id="rId52" Type="http://schemas.openxmlformats.org/officeDocument/2006/relationships/hyperlink" Target="https://doi.org/10.1016/j.yrtph.2019.104456" TargetMode="External"/><Relationship Id="rId53" Type="http://schemas.openxmlformats.org/officeDocument/2006/relationships/hyperlink" Target="https://doi.org/10.1111/j.1365-2885.2006.00740.x" TargetMode="External"/><Relationship Id="rId54" Type="http://schemas.openxmlformats.org/officeDocument/2006/relationships/hyperlink" Target="https://doi.org/10.1002/ptr.4686" TargetMode="External"/><Relationship Id="rId55" Type="http://schemas.openxmlformats.org/officeDocument/2006/relationships/hyperlink" Target="https://doi.org/10.1089/jmf.2010.0197" TargetMode="External"/><Relationship Id="rId56" Type="http://schemas.openxmlformats.org/officeDocument/2006/relationships/hyperlink" Target="https://doi.org/10.1007/s00210-012-0742-2" TargetMode="External"/><Relationship Id="rId57" Type="http://schemas.openxmlformats.org/officeDocument/2006/relationships/hyperlink" Target="https://doi.org/10.1016/j.jpag.2006.09.001" TargetMode="External"/><Relationship Id="rId58" Type="http://schemas.openxmlformats.org/officeDocument/2006/relationships/hyperlink" Target="https://doi.org/10.1196/annals.1429.007" TargetMode="External"/><Relationship Id="rId59" Type="http://schemas.openxmlformats.org/officeDocument/2006/relationships/hyperlink" Target="https://doi.org/10.3390/molecules26216387" TargetMode="External"/><Relationship Id="rId60" Type="http://schemas.openxmlformats.org/officeDocument/2006/relationships/hyperlink" Target="https://doi.org/10.1016/j.lfs.2021.119955" TargetMode="External"/><Relationship Id="rId61" Type="http://schemas.openxmlformats.org/officeDocument/2006/relationships/hyperlink" Target="https://doi.org/10.1016/j.prostaglandins.2022.106635" TargetMode="External"/><Relationship Id="rId62" Type="http://schemas.openxmlformats.org/officeDocument/2006/relationships/hyperlink" Target="https://doi.org/10.3390/ijms23116128" TargetMode="External"/><Relationship Id="rId63" Type="http://schemas.openxmlformats.org/officeDocument/2006/relationships/hyperlink" Target="https://doi.org/10.22038/ajp.2011.114" TargetMode="External"/><Relationship Id="rId64" Type="http://schemas.openxmlformats.org/officeDocument/2006/relationships/hyperlink" Target="https://doi.org/10.1093/humupd/dmv039" TargetMode="External"/><Relationship Id="rId65" Type="http://schemas.openxmlformats.org/officeDocument/2006/relationships/hyperlink" Target="https://doi.org/10.1080/10412905.2022.2072968" TargetMode="External"/><Relationship Id="rId66" Type="http://schemas.openxmlformats.org/officeDocument/2006/relationships/hyperlink" Target="https://doi.org/10.1016/j.ogrm.2020.05.004" TargetMode="External"/><Relationship Id="rId67" Type="http://schemas.openxmlformats.org/officeDocument/2006/relationships/hyperlink" Target="https://doi.org/10.1016/j.cppeds.2022.101183" TargetMode="External"/><Relationship Id="rId68" Type="http://schemas.openxmlformats.org/officeDocument/2006/relationships/hyperlink" Target="https://doi.org/10.1016/j.hermed.2021.100440" TargetMode="External"/><Relationship Id="rId69" Type="http://schemas.openxmlformats.org/officeDocument/2006/relationships/hyperlink" Target="https://doi.org/10.1021/jf060608c" TargetMode="External"/><Relationship Id="rId70" Type="http://schemas.openxmlformats.org/officeDocument/2006/relationships/hyperlink" Target="https://doi.org/10.1016/j.toxrep.2016.04.001" TargetMode="External"/><Relationship Id="rId71" Type="http://schemas.openxmlformats.org/officeDocument/2006/relationships/hyperlink" Target="https://doi.org/10.1093/epirev/mxt009" TargetMode="External"/><Relationship Id="rId72" Type="http://schemas.openxmlformats.org/officeDocument/2006/relationships/hyperlink" Target="https://doi.org/10.1016/j.tox.2024.153442" TargetMode="External"/><Relationship Id="rId73" Type="http://schemas.openxmlformats.org/officeDocument/2006/relationships/hyperlink" Target="https://doi.org/10.3390/molecules17066953" TargetMode="External"/><Relationship Id="rId74" Type="http://schemas.openxmlformats.org/officeDocument/2006/relationships/hyperlink" Target="https://pubmed.ncbi.nlm.nih.gov/25050273/" TargetMode="External"/><Relationship Id="rId75" Type="http://schemas.openxmlformats.org/officeDocument/2006/relationships/hyperlink" Target="https://doi.org/10.1080/15376516.2021.2005389" TargetMode="External"/><Relationship Id="rId76" Type="http://schemas.openxmlformats.org/officeDocument/2006/relationships/hyperlink" Target="https://doi.org/10.1016/j.jep.2021.113939" TargetMode="External"/><Relationship Id="rId77" Type="http://schemas.openxmlformats.org/officeDocument/2006/relationships/hyperlink" Target="https://www.phytojournal.com/archives/2019/vol8issue1/PartG/7-6-164-236.pdf" TargetMode="External"/><Relationship Id="rId78" Type="http://schemas.openxmlformats.org/officeDocument/2006/relationships/hyperlink" Target="https://doi.org/10.1016/j.hermed.2021.100438" TargetMode="External"/><Relationship Id="rId79" Type="http://schemas.openxmlformats.org/officeDocument/2006/relationships/hyperlink" Target="https://doi.org/10.1016/S0024-3205(03" TargetMode="External"/><Relationship Id="rId80" Type="http://schemas.openxmlformats.org/officeDocument/2006/relationships/hyperlink" Target="https://doi.org/10.3390/ijms22168765" TargetMode="External"/><Relationship Id="rId81" Type="http://schemas.openxmlformats.org/officeDocument/2006/relationships/hyperlink" Target="https://doi.org/10.1089/jwh.2020.8796" TargetMode="External"/><Relationship Id="rId82" Type="http://schemas.openxmlformats.org/officeDocument/2006/relationships/hyperlink" Target="https://doi.org/10.1177/00220345211044388" TargetMode="External"/><Relationship Id="rId83" Type="http://schemas.openxmlformats.org/officeDocument/2006/relationships/hyperlink" Target="https://doi.org/10.5772/intechopen.99199" TargetMode="External"/><Relationship Id="rId84" Type="http://schemas.openxmlformats.org/officeDocument/2006/relationships/hyperlink" Target="https://doi.org/10.4103/0253-7613.27702" TargetMode="External"/><Relationship Id="rId85" Type="http://schemas.openxmlformats.org/officeDocument/2006/relationships/hyperlink" Target="https://www.czytelniamedyczna.pl/4799,przeciwgrzybicze-dzialanie-olejku-gozdzikowego.html" TargetMode="External"/><Relationship Id="rId86" Type="http://schemas.openxmlformats.org/officeDocument/2006/relationships/hyperlink" Target="https://doi.org/10.18433/jpps31456" TargetMode="External"/><Relationship Id="rId87" Type="http://schemas.openxmlformats.org/officeDocument/2006/relationships/hyperlink" Target="https://doi.org/10.1590/S0001-37652007000200004" TargetMode="External"/><Relationship Id="rId88" Type="http://schemas.openxmlformats.org/officeDocument/2006/relationships/hyperlink" Target="https://doi.org/10.3390/nu12113438" TargetMode="External"/><Relationship Id="rId89" Type="http://schemas.openxmlformats.org/officeDocument/2006/relationships/hyperlink" Target="https://doi.org/10.1016/j.maturitas.2015.11.013" TargetMode="External"/><Relationship Id="rId90" Type="http://schemas.openxmlformats.org/officeDocument/2006/relationships/hyperlink" Target="https://doi.org/10.1097/MD.0000000000022592" TargetMode="External"/><Relationship Id="rId91" Type="http://schemas.openxmlformats.org/officeDocument/2006/relationships/hyperlink" Target="https://doi.org/10.1007/112_2021_65" TargetMode="External"/><Relationship Id="rId92" Type="http://schemas.openxmlformats.org/officeDocument/2006/relationships/hyperlink" Target="https://doi.org/10.1177/154405910808700204" TargetMode="External"/><Relationship Id="rId93" Type="http://schemas.openxmlformats.org/officeDocument/2006/relationships/hyperlink" Target="https://doi.org/10.12771/emj.2024.e39" TargetMode="External"/><Relationship Id="rId94" Type="http://schemas.openxmlformats.org/officeDocument/2006/relationships/hyperlink" Target="https://doi.org/10.5455/rmj.20230803092427" TargetMode="External"/><Relationship Id="rId95" Type="http://schemas.openxmlformats.org/officeDocument/2006/relationships/hyperlink" Target="https://doi.org/10.1016/j.maturitas.2020.03.009" TargetMode="External"/><Relationship Id="rId96" Type="http://schemas.openxmlformats.org/officeDocument/2006/relationships/hyperlink" Target="https://doi.org/10.2147/JPR.S401229" TargetMode="External"/><Relationship Id="rId97" Type="http://schemas.openxmlformats.org/officeDocument/2006/relationships/hyperlink" Target="https://doi.org/10.1016/j.jpag.2022.04.008" TargetMode="External"/><Relationship Id="rId98" Type="http://schemas.openxmlformats.org/officeDocument/2006/relationships/hyperlink" Target="https://doi.org/10.2220/biomedres.27.69" TargetMode="External"/><Relationship Id="rId99" Type="http://schemas.openxmlformats.org/officeDocument/2006/relationships/hyperlink" Target="https://doi.org/10.1021/acs.jafc.2c06300" TargetMode="External"/><Relationship Id="rId100" Type="http://schemas.openxmlformats.org/officeDocument/2006/relationships/hyperlink" Target="https://doi.org/10.1016/j.ejogrb.2007.10.015" TargetMode="External"/><Relationship Id="rId101" Type="http://schemas.openxmlformats.org/officeDocument/2006/relationships/hyperlink" Target="https://doi.org/10.1016/j.vascn.2020.106810" TargetMode="External"/><Relationship Id="rId102" Type="http://schemas.openxmlformats.org/officeDocument/2006/relationships/hyperlink" Target="https://doi.org/10.2147/IJWH.S521349" TargetMode="External"/><Relationship Id="rId103" Type="http://schemas.openxmlformats.org/officeDocument/2006/relationships/hyperlink" Target="https://doi.org/10.4236/jbm.2017.511007" TargetMode="External"/><Relationship Id="rId104" Type="http://schemas.openxmlformats.org/officeDocument/2006/relationships/hyperlink" Target="https://doi.org/10.3791/63511" TargetMode="External"/><Relationship Id="rId105" Type="http://schemas.openxmlformats.org/officeDocument/2006/relationships/hyperlink" Target="https://doi.org/10.1002/jat.4234" TargetMode="External"/><Relationship Id="rId106" Type="http://schemas.openxmlformats.org/officeDocument/2006/relationships/hyperlink" Target="https://doi.org/10.1016/j.ejphar.2010.08.021" TargetMode="External"/><Relationship Id="rId107" Type="http://schemas.openxmlformats.org/officeDocument/2006/relationships/hyperlink" Target="https://doi.org/10.1016/j.foodcont.2021.108190" TargetMode="External"/><Relationship Id="rId108" Type="http://schemas.openxmlformats.org/officeDocument/2006/relationships/hyperlink" Target="https://doi.org/10.1002/14651858.CD001751.pub3" TargetMode="External"/><Relationship Id="rId109" Type="http://schemas.openxmlformats.org/officeDocument/2006/relationships/hyperlink" Target="https://doi.org/10.1080/0972060X.2020.1835772" TargetMode="External"/><Relationship Id="rId110" Type="http://schemas.openxmlformats.org/officeDocument/2006/relationships/hyperlink" Target="https://doi.org/10.1016/j.fct.2008.06.006" TargetMode="External"/><Relationship Id="rId111" Type="http://schemas.openxmlformats.org/officeDocument/2006/relationships/hyperlink" Target="https://journals.innovareacademics.in/index.php/ijpps/article/view/2055" TargetMode="External"/><Relationship Id="rId112" Type="http://schemas.openxmlformats.org/officeDocument/2006/relationships/hyperlink" Target="https://doi.org/10.1038/sj.bjp.0704767" TargetMode="External"/><Relationship Id="rId113" Type="http://schemas.openxmlformats.org/officeDocument/2006/relationships/hyperlink" Target="https://doi.org/10.1080/10408398.2021.1895062" TargetMode="External"/><Relationship Id="rId114" Type="http://schemas.openxmlformats.org/officeDocument/2006/relationships/hyperlink" Target="https://doi.org/10.1016/j.yrtph.2021.104930" TargetMode="External"/><Relationship Id="rId115" Type="http://schemas.openxmlformats.org/officeDocument/2006/relationships/hyperlink" Target="https://www.researchgate.net/publication/228357516" TargetMode="External"/><Relationship Id="rId116" Type="http://schemas.openxmlformats.org/officeDocument/2006/relationships/hyperlink" Target="https://doi.org/10.1007/s40264-022-01169-0" TargetMode="External"/><Relationship Id="rId117" Type="http://schemas.openxmlformats.org/officeDocument/2006/relationships/hyperlink" Target="https://doi.org/10.1080/J157v06n01_03" TargetMode="External"/><Relationship Id="rId118" Type="http://schemas.openxmlformats.org/officeDocument/2006/relationships/hyperlink" Target="https://doi.org/10.3390/ph17211505" TargetMode="External"/><Relationship Id="rId119" Type="http://schemas.openxmlformats.org/officeDocument/2006/relationships/hyperlink" Target="https://doi.org/10.1254/jjp.79.327" TargetMode="External"/><Relationship Id="rId120" Type="http://schemas.openxmlformats.org/officeDocument/2006/relationships/hyperlink" Target="https://doi.org/10.4315/JFP-20-365" TargetMode="External"/><Relationship Id="rId121" Type="http://schemas.openxmlformats.org/officeDocument/2006/relationships/hyperlink" Target="https://doi.org/10.1016/j.jpag.2010.05.004" TargetMode="External"/><Relationship Id="rId122" Type="http://schemas.openxmlformats.org/officeDocument/2006/relationships/hyperlink" Target="https://doi.org/10.4103/njcp.njcp_117_20" TargetMode="External"/><Relationship Id="rId123" Type="http://schemas.openxmlformats.org/officeDocument/2006/relationships/hyperlink" Target="https://doi.org/10.1787/9789264071001-en" TargetMode="External"/><Relationship Id="rId124" Type="http://schemas.openxmlformats.org/officeDocument/2006/relationships/hyperlink" Target="https://doi.org/10.1787/9789264071049-en" TargetMode="External"/><Relationship Id="rId125" Type="http://schemas.openxmlformats.org/officeDocument/2006/relationships/hyperlink" Target="https://doi.org/10.1016/j.ajog.2017.08.108" TargetMode="External"/><Relationship Id="rId126" Type="http://schemas.openxmlformats.org/officeDocument/2006/relationships/hyperlink" Target="https://doi.org/10.1016/j.hermed.2021.100487" TargetMode="External"/><Relationship Id="rId127" Type="http://schemas.openxmlformats.org/officeDocument/2006/relationships/hyperlink" Target="https://doi.org/10.1016/j.ejphar.2022.174984" TargetMode="External"/><Relationship Id="rId128" Type="http://schemas.openxmlformats.org/officeDocument/2006/relationships/hyperlink" Target="https://doi.org/10.1016/j.ejphar.2020.173645" TargetMode="External"/><Relationship Id="rId129" Type="http://schemas.openxmlformats.org/officeDocument/2006/relationships/hyperlink" Target="https://doi.org/10.1016/S0378-8741(01" TargetMode="External"/><Relationship Id="rId130" Type="http://schemas.openxmlformats.org/officeDocument/2006/relationships/hyperlink" Target="https://www.ncbi.nlm.nih.gov/books/NBK553201/" TargetMode="External"/><Relationship Id="rId131" Type="http://schemas.openxmlformats.org/officeDocument/2006/relationships/hyperlink" Target="https://doi.org/10.1007/s40011-021-01287-8" TargetMode="External"/><Relationship Id="rId132" Type="http://schemas.openxmlformats.org/officeDocument/2006/relationships/hyperlink" Target="https://doi.org/10.1007/s10068-021-00900-y" TargetMode="External"/><Relationship Id="rId133" Type="http://schemas.openxmlformats.org/officeDocument/2006/relationships/hyperlink" Target="https://doi.org/10.1016/j.pain.2006.04.024" TargetMode="External"/><Relationship Id="rId134" Type="http://schemas.openxmlformats.org/officeDocument/2006/relationships/hyperlink" Target="https://doi.org/10.1002/14651858.CD002124.pub2" TargetMode="External"/><Relationship Id="rId135" Type="http://schemas.openxmlformats.org/officeDocument/2006/relationships/hyperlink" Target="https://doi.org/10.1039/D1NP00044A" TargetMode="External"/><Relationship Id="rId136" Type="http://schemas.openxmlformats.org/officeDocument/2006/relationships/hyperlink" Target="https://doi.org/10.1111/bph.12820" TargetMode="External"/><Relationship Id="rId137" Type="http://schemas.openxmlformats.org/officeDocument/2006/relationships/hyperlink" Target="https://doi.org/10.1016/j.neulet.2021.136117" TargetMode="External"/><Relationship Id="rId138" Type="http://schemas.openxmlformats.org/officeDocument/2006/relationships/hyperlink" Target="https://doi.org/10.29057/icsa.v6i11.2723" TargetMode="External"/><Relationship Id="rId139" Type="http://schemas.openxmlformats.org/officeDocument/2006/relationships/hyperlink" Target="https://doi.org/10.1007/s11033-014-3657-9" TargetMode="External"/><Relationship Id="rId140" Type="http://schemas.openxmlformats.org/officeDocument/2006/relationships/hyperlink" Target="https://doi.org/10.1007/s12038-022-00266-z" TargetMode="External"/><Relationship Id="rId141" Type="http://schemas.openxmlformats.org/officeDocument/2006/relationships/hyperlink" Target="https://doi.org/10.1021/acsomega.5c04146" TargetMode="External"/><Relationship Id="rId142" Type="http://schemas.openxmlformats.org/officeDocument/2006/relationships/hyperlink" Target="https://doi.org/10.20473/jmv.vol4.iss2.2021.226-230" TargetMode="External"/><Relationship Id="rId143" Type="http://schemas.openxmlformats.org/officeDocument/2006/relationships/hyperlink" Target="https://doi.org/10.1016/j.plefa.2005.10.002" TargetMode="External"/><Relationship Id="rId144" Type="http://schemas.openxmlformats.org/officeDocument/2006/relationships/hyperlink" Target="https://doi.org/10.1089/acm.2020.0436" TargetMode="External"/><Relationship Id="rId145" Type="http://schemas.openxmlformats.org/officeDocument/2006/relationships/hyperlink" Target="https://doi.org/10.1540/jsmr.58.1" TargetMode="External"/><Relationship Id="rId146" Type="http://schemas.openxmlformats.org/officeDocument/2006/relationships/hyperlink" Target="https://doi.org/10.1016/j.phymed.2021.153558" TargetMode="External"/><Relationship Id="rId147" Type="http://schemas.openxmlformats.org/officeDocument/2006/relationships/hyperlink" Target="https://doi.org/10.1056/nejm198401053100115" TargetMode="External"/><Relationship Id="rId148" Type="http://schemas.openxmlformats.org/officeDocument/2006/relationships/hyperlink" Target="https://doi.org/10.1186/s12905-022-01614-3" TargetMode="External"/><Relationship Id="rId149" Type="http://schemas.openxmlformats.org/officeDocument/2006/relationships/hyperlink" Target="https://doi.org/10.1002/cphy.c210027" TargetMode="External"/><Relationship Id="rId150" Type="http://schemas.openxmlformats.org/officeDocument/2006/relationships/hyperlink" Target="https://doi.org/10.1016/j.plefa.2021.102294" TargetMode="External"/><Relationship Id="rId151" Type="http://schemas.openxmlformats.org/officeDocument/2006/relationships/hyperlink" Target="https://doi.org/10.1080/14786410802242679" TargetMode="External"/><Relationship Id="rId152" Type="http://schemas.openxmlformats.org/officeDocument/2006/relationships/hyperlink" Target="https://doi.org/10.1194/jlr.R800042-JLR200" TargetMode="External"/><Relationship Id="rId153" Type="http://schemas.openxmlformats.org/officeDocument/2006/relationships/hyperlink" Target="https://doi.org/10.1021/acs.jafc.6b00337" TargetMode="External"/><Relationship Id="rId154" Type="http://schemas.openxmlformats.org/officeDocument/2006/relationships/hyperlink" Target="https://doi.org/10.3390/app11125432" TargetMode="External"/><Relationship Id="rId155" Type="http://schemas.openxmlformats.org/officeDocument/2006/relationships/hyperlink" Target="https://doi.org/10.1002/14651858.CD001751.pub4" TargetMode="External"/><Relationship Id="rId156" Type="http://schemas.openxmlformats.org/officeDocument/2006/relationships/hyperlink" Target="https://doi.org/10.1007/s00210-010-0582-x" TargetMode="External"/><Relationship Id="rId157" Type="http://schemas.openxmlformats.org/officeDocument/2006/relationships/hyperlink" Target="https://doi.org/10.3389/fphar.2021.751207" TargetMode="External"/><Relationship Id="rId158" Type="http://schemas.openxmlformats.org/officeDocument/2006/relationships/hyperlink" Target="https://doi.org/10.14202/vetworld.2022.684-692" TargetMode="External"/><Relationship Id="rId159" Type="http://schemas.openxmlformats.org/officeDocument/2006/relationships/hyperlink" Target="https://doi.org/10.1016/j.lfs.2023.121361" TargetMode="External"/><Relationship Id="rId160" Type="http://schemas.openxmlformats.org/officeDocument/2006/relationships/hyperlink" Target="https://doi.org/10.1007/s11694-020-00482-5" TargetMode="External"/><Relationship Id="rId161" Type="http://schemas.openxmlformats.org/officeDocument/2006/relationships/hyperlink" Target="https://doi.org/10.1124/jpet.113.207936" TargetMode="External"/><Relationship Id="rId162" Type="http://schemas.openxmlformats.org/officeDocument/2006/relationships/hyperlink" Target="https://doi.org/10.1021/jf051513y" TargetMode="External"/><Relationship Id="rId163" Type="http://schemas.openxmlformats.org/officeDocument/2006/relationships/hyperlink" Target="https://doi.org/10.1007/s13197-021-05073-0" TargetMode="External"/><Relationship Id="rId164" Type="http://schemas.openxmlformats.org/officeDocument/2006/relationships/hyperlink" Target="https://doi.org/10.1016/j.jep.2021.114152" TargetMode="External"/><Relationship Id="rId165" Type="http://schemas.openxmlformats.org/officeDocument/2006/relationships/hyperlink" Target="https://doi.org/10.1016/j.vascn.2022.107166" TargetMode="External"/><Relationship Id="rId166" Type="http://schemas.openxmlformats.org/officeDocument/2006/relationships/hyperlink" Target="https://doi.org/10.1124/jpet.121.000683" TargetMode="External"/><Relationship Id="rId167" Type="http://schemas.openxmlformats.org/officeDocument/2006/relationships/hyperlink" Target="https://doi.org/10.1002/ptr.7386" TargetMode="External"/><Relationship Id="rId168" Type="http://schemas.openxmlformats.org/officeDocument/2006/relationships/hyperlink" Target="https://doi.org/10.1093/toxres/tfab032" TargetMode="External"/><Relationship Id="rId169" Type="http://schemas.openxmlformats.org/officeDocument/2006/relationships/hyperlink" Target="https://doi.org/10.1016/j.ejphar.2022.174840" TargetMode="External"/><Relationship Id="rId170" Type="http://schemas.openxmlformats.org/officeDocument/2006/relationships/hyperlink" Target="https://doi.org/10.7759/cureus.67439" TargetMode="External"/><Relationship Id="rId171" Type="http://schemas.openxmlformats.org/officeDocument/2006/relationships/hyperlink" Target="https://doi.org/10.1146/annurev.biochem.69.1.145" TargetMode="External"/><Relationship Id="rId172" Type="http://schemas.openxmlformats.org/officeDocument/2006/relationships/hyperlink" Target="https://doi.org/10.3389/fcell.2026.1756355" TargetMode="External"/><Relationship Id="rId173" Type="http://schemas.openxmlformats.org/officeDocument/2006/relationships/hyperlink" Target="https://obgyn.lwwhealthlibrary.com/book.aspx?bookid=2698" TargetMode="External"/><Relationship Id="rId174" Type="http://schemas.openxmlformats.org/officeDocument/2006/relationships/hyperlink" Target="https://doi.org/10.1016/0952-3278(91" TargetMode="External"/><Relationship Id="rId175" Type="http://schemas.openxmlformats.org/officeDocument/2006/relationships/hyperlink" Target="https://doi.org/10.3109/00016348409156715" TargetMode="External"/><Relationship Id="rId176" Type="http://schemas.openxmlformats.org/officeDocument/2006/relationships/hyperlink" Target="https://doi.org/10.1002/jum.15801" TargetMode="External"/><Relationship Id="rId177" Type="http://schemas.openxmlformats.org/officeDocument/2006/relationships/hyperlink" Target="https://doi.org/10.3390/antiox9100994" TargetMode="External"/><Relationship Id="rId178" Type="http://schemas.openxmlformats.org/officeDocument/2006/relationships/hyperlink" Target="https://doi.org/10.1016/j.vascn.2022.107192" TargetMode="External"/><Relationship Id="rId179" Type="http://schemas.openxmlformats.org/officeDocument/2006/relationships/hyperlink" Target="https://doi.org/10.3402/ljm.v10.28685" TargetMode="External"/><Relationship Id="rId180" Type="http://schemas.openxmlformats.org/officeDocument/2006/relationships/hyperlink" Target="https://doi.org/10.1016/j.neubiorev.2022.104705" TargetMode="External"/><Relationship Id="rId181" Type="http://schemas.openxmlformats.org/officeDocument/2006/relationships/hyperlink" Target="https://doi.org/10.1186/1472-6882-4-17" TargetMode="External"/><Relationship Id="rId182" Type="http://schemas.openxmlformats.org/officeDocument/2006/relationships/hyperlink" Target="https://doi.org/10.1016/j.prostaglandins.2023.106675" TargetMode="External"/><Relationship Id="rId183" Type="http://schemas.openxmlformats.org/officeDocument/2006/relationships/hyperlink" Target="https://doi.org/10.1080/09540105.2017.1320357" TargetMode="External"/><Relationship Id="rId184" Type="http://schemas.openxmlformats.org/officeDocument/2006/relationships/hyperlink" Target="https://doi.org/10.1080/10412905.2022.2036629" TargetMode="External"/><Relationship Id="rId185" Type="http://schemas.openxmlformats.org/officeDocument/2006/relationships/hyperlink" Target="https://doi.org/10.1146/annurev.pharmtox.38.1.97" TargetMode="External"/><Relationship Id="rId186" Type="http://schemas.openxmlformats.org/officeDocument/2006/relationships/hyperlink" Target="https://doi.org/10.1080/0972060X.2022.2075501" TargetMode="External"/><Relationship Id="rId187" Type="http://schemas.openxmlformats.org/officeDocument/2006/relationships/hyperlink" Target="https://doi.org/10.1530/JOE-20-0609" TargetMode="External"/><Relationship Id="rId188" Type="http://schemas.openxmlformats.org/officeDocument/2006/relationships/hyperlink" Target="https://doi.org/10.1038/s41392-020-00443-w" TargetMode="External"/><Relationship Id="rId189" Type="http://schemas.openxmlformats.org/officeDocument/2006/relationships/hyperlink" Target="https://doi.org/10.1002/14651858.CD002120.pub3" TargetMode="External"/><Relationship Id="rId190" Type="http://schemas.openxmlformats.org/officeDocument/2006/relationships/hyperlink" Target="https://doi.org/10.1016/j.vascn.2023.107213" TargetMode="External"/><Relationship Id="rId191" Type="http://schemas.openxmlformats.org/officeDocument/2006/relationships/hyperlink" Target="https://doi.org/10.3389/fnut.2022.1002147" TargetMode="External"/><Relationship Id="rId192" Type="http://schemas.openxmlformats.org/officeDocument/2006/relationships/hyperlink" Target="https://doi.org/10.1248/yakushi.21-00223" TargetMode="External"/><Relationship Id="rId193" Type="http://schemas.openxmlformats.org/officeDocument/2006/relationships/hyperlink" Target="https://doi.org/10.1538/expanim.14-0111" TargetMode="External"/><Relationship Id="rId194" Type="http://schemas.openxmlformats.org/officeDocument/2006/relationships/hyperlink" Target="https://doi.org/10.1016/S1875-5364(16" TargetMode="External"/><Relationship Id="rId195" Type="http://schemas.openxmlformats.org/officeDocument/2006/relationships/hyperlink" Target="https://doi.org/10.1089/jmf.2020.4730" TargetMode="External"/><Relationship Id="rId196" Type="http://schemas.openxmlformats.org/officeDocument/2006/relationships/hyperlink" Target="https://doi.org/10.1177/039463201102400208" TargetMode="External"/><Relationship Id="rId197" Type="http://schemas.openxmlformats.org/officeDocument/2006/relationships/hyperlink" Target="https://doi.org/10.1016/0002-9378(78" TargetMode="External"/><Relationship Id="rId198" Type="http://schemas.openxmlformats.org/officeDocument/2006/relationships/hyperlink" Target="https://doi.org/10.1016/j.tox.2009.12.018" TargetMode="External"/><Relationship Id="rId199" Type="http://schemas.openxmlformats.org/officeDocument/2006/relationships/hyperlink" Target="https://doi.org/10.1016/j.phymed.2022.154178" TargetMode="External"/><Relationship Id="rId200" Type="http://schemas.openxmlformats.org/officeDocument/2006/relationships/hyperlink" Target="https://doi.org/10.2147/JPR.S318522" TargetMode="External"/><Relationship Id="rId201" Type="http://schemas.openxmlformats.org/officeDocument/2006/relationships/hyperlink" Target="https://doi.org/10.1021/np50085a029" TargetMode="External"/><Relationship Id="rId202" Type="http://schemas.openxmlformats.org/officeDocument/2006/relationships/hyperlink" Target="https://doi.org/10.3389/fendo.2022.887142" TargetMode="External"/><Relationship Id="rId203" Type="http://schemas.openxmlformats.org/officeDocument/2006/relationships/hyperlink" Target="https://doi.org/10.1016/j.pmn.2025.02.001" TargetMode="External"/><Relationship Id="rId204" Type="http://schemas.openxmlformats.org/officeDocument/2006/relationships/hyperlink" Target="https://doi.org/10.1038/s41598-020-73295-9" TargetMode="External"/><Relationship Id="rId205" Type="http://schemas.openxmlformats.org/officeDocument/2006/relationships/hyperlink" Target="https://doi.org/10.1007/978-3-030-47483-6_7" TargetMode="External"/><Relationship Id="rId206" Type="http://schemas.openxmlformats.org/officeDocument/2006/relationships/hyperlink" Target="https://doi.org/10.3390/molecules24091675" TargetMode="External"/><Relationship Id="rId207" Type="http://schemas.openxmlformats.org/officeDocument/2006/relationships/hyperlink" Target="https://doi.org/10.1155/2018/39572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