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74305" w14:textId="2E31F134" w:rsidR="00694DD5" w:rsidRPr="006D3259" w:rsidRDefault="006D3259" w:rsidP="006D3259">
      <w:pPr>
        <w:pBdr>
          <w:bottom w:val="single" w:sz="4" w:space="1" w:color="auto"/>
        </w:pBdr>
        <w:jc w:val="center"/>
        <w:rPr>
          <w:rFonts w:cstheme="minorHAnsi"/>
          <w:i/>
          <w:iCs/>
          <w:sz w:val="32"/>
          <w:szCs w:val="32"/>
        </w:rPr>
      </w:pPr>
      <w:r w:rsidRPr="006D3259">
        <w:rPr>
          <w:rFonts w:cstheme="minorHAnsi"/>
          <w:i/>
          <w:iCs/>
          <w:sz w:val="32"/>
          <w:szCs w:val="32"/>
        </w:rPr>
        <w:t>Ali A. Al-Rajhi, PhD, MPH</w:t>
      </w:r>
    </w:p>
    <w:p w14:paraId="3DE826E4" w14:textId="2490DDDB" w:rsidR="006D3259" w:rsidRPr="006D3259" w:rsidRDefault="006D3259" w:rsidP="006D3259">
      <w:pPr>
        <w:jc w:val="center"/>
        <w:rPr>
          <w:rStyle w:val="Strong"/>
          <w:rFonts w:cstheme="minorHAnsi"/>
          <w:sz w:val="24"/>
          <w:szCs w:val="24"/>
        </w:rPr>
      </w:pPr>
      <w:r w:rsidRPr="006D3259">
        <w:rPr>
          <w:rFonts w:cstheme="minorHAnsi"/>
          <w:b/>
          <w:bCs/>
          <w:sz w:val="24"/>
          <w:szCs w:val="24"/>
        </w:rPr>
        <w:t>PUBLICATIONS</w:t>
      </w:r>
    </w:p>
    <w:p w14:paraId="3398630F" w14:textId="76F20649" w:rsidR="006D3259" w:rsidRPr="006D3259" w:rsidRDefault="006D3259" w:rsidP="006D3259">
      <w:pPr>
        <w:spacing w:after="0"/>
        <w:rPr>
          <w:rFonts w:cstheme="minorHAnsi"/>
        </w:rPr>
      </w:pPr>
      <w:r w:rsidRPr="006D3259">
        <w:rPr>
          <w:rStyle w:val="Strong"/>
          <w:rFonts w:cstheme="minorHAnsi"/>
          <w:u w:val="single"/>
        </w:rPr>
        <w:t>Al-Rajhi A</w:t>
      </w:r>
      <w:r w:rsidRPr="006D3259">
        <w:rPr>
          <w:rStyle w:val="Strong"/>
          <w:rFonts w:cstheme="minorHAnsi"/>
          <w:b w:val="0"/>
          <w:bCs w:val="0"/>
        </w:rPr>
        <w:t xml:space="preserve">, Fujino D, Lum F, Kelly S (2020). </w:t>
      </w:r>
      <w:r w:rsidRPr="0092673B">
        <w:rPr>
          <w:rStyle w:val="Strong"/>
          <w:rFonts w:cstheme="minorHAnsi"/>
          <w:b w:val="0"/>
          <w:bCs w:val="0"/>
          <w:i/>
          <w:iCs/>
        </w:rPr>
        <w:t xml:space="preserve">Compliance and Outcomes of the Primary Open Angle Glaucoma Preferred Practice Pattern Gonioscopy Recommendation: An </w:t>
      </w:r>
      <w:r w:rsidRPr="0092673B">
        <w:rPr>
          <w:rFonts w:cstheme="minorHAnsi"/>
          <w:i/>
          <w:iCs/>
        </w:rPr>
        <w:t>AAO IRIS</w:t>
      </w:r>
      <w:r w:rsidRPr="0092673B">
        <w:rPr>
          <w:rFonts w:cstheme="minorHAnsi"/>
          <w:i/>
          <w:iCs/>
          <w:vertAlign w:val="superscript"/>
        </w:rPr>
        <w:t>®</w:t>
      </w:r>
      <w:r w:rsidRPr="0092673B">
        <w:rPr>
          <w:rFonts w:cstheme="minorHAnsi"/>
          <w:i/>
          <w:iCs/>
        </w:rPr>
        <w:t xml:space="preserve"> Registry Analysis</w:t>
      </w:r>
      <w:r w:rsidRPr="006D3259">
        <w:rPr>
          <w:rFonts w:cstheme="minorHAnsi"/>
        </w:rPr>
        <w:t xml:space="preserve"> (accepted conference paper at the American Academy of Ophthalmology’s Annual Meeting).</w:t>
      </w:r>
    </w:p>
    <w:p w14:paraId="781CFFF3" w14:textId="77777777" w:rsidR="006D3259" w:rsidRPr="006D3259" w:rsidRDefault="006D3259" w:rsidP="006D3259">
      <w:pPr>
        <w:spacing w:after="0"/>
        <w:rPr>
          <w:rFonts w:cstheme="minorHAnsi"/>
          <w:b/>
          <w:bCs/>
        </w:rPr>
      </w:pPr>
    </w:p>
    <w:p w14:paraId="0B9414C0" w14:textId="77777777" w:rsidR="006D3259" w:rsidRPr="006D3259" w:rsidRDefault="006D3259" w:rsidP="006D3259">
      <w:pPr>
        <w:rPr>
          <w:rFonts w:cstheme="minorHAnsi"/>
        </w:rPr>
      </w:pPr>
      <w:r w:rsidRPr="006D3259">
        <w:rPr>
          <w:rFonts w:cstheme="minorHAnsi"/>
        </w:rPr>
        <w:t xml:space="preserve">Qureshi R, Azuara-Blanco A, </w:t>
      </w:r>
      <w:proofErr w:type="spellStart"/>
      <w:r w:rsidRPr="006D3259">
        <w:rPr>
          <w:rFonts w:cstheme="minorHAnsi"/>
        </w:rPr>
        <w:t>Michelessi</w:t>
      </w:r>
      <w:proofErr w:type="spellEnd"/>
      <w:r w:rsidRPr="006D3259">
        <w:rPr>
          <w:rFonts w:cstheme="minorHAnsi"/>
        </w:rPr>
        <w:t xml:space="preserve"> M, </w:t>
      </w:r>
      <w:proofErr w:type="spellStart"/>
      <w:r w:rsidRPr="006D3259">
        <w:rPr>
          <w:rFonts w:cstheme="minorHAnsi"/>
        </w:rPr>
        <w:t>Virgili</w:t>
      </w:r>
      <w:proofErr w:type="spellEnd"/>
      <w:r w:rsidRPr="006D3259">
        <w:rPr>
          <w:rFonts w:cstheme="minorHAnsi"/>
        </w:rPr>
        <w:t xml:space="preserve"> G, Breda J, </w:t>
      </w:r>
      <w:proofErr w:type="spellStart"/>
      <w:r w:rsidRPr="006D3259">
        <w:rPr>
          <w:rFonts w:cstheme="minorHAnsi"/>
        </w:rPr>
        <w:t>Cutolo</w:t>
      </w:r>
      <w:proofErr w:type="spellEnd"/>
      <w:r w:rsidRPr="006D3259">
        <w:rPr>
          <w:rFonts w:cstheme="minorHAnsi"/>
        </w:rPr>
        <w:t xml:space="preserve"> C, </w:t>
      </w:r>
      <w:proofErr w:type="spellStart"/>
      <w:r w:rsidRPr="006D3259">
        <w:rPr>
          <w:rFonts w:cstheme="minorHAnsi"/>
        </w:rPr>
        <w:t>Pazos</w:t>
      </w:r>
      <w:proofErr w:type="spellEnd"/>
      <w:r w:rsidRPr="006D3259">
        <w:rPr>
          <w:rFonts w:cstheme="minorHAnsi"/>
        </w:rPr>
        <w:t xml:space="preserve"> M, </w:t>
      </w:r>
      <w:proofErr w:type="spellStart"/>
      <w:r w:rsidRPr="006D3259">
        <w:rPr>
          <w:rFonts w:cstheme="minorHAnsi"/>
        </w:rPr>
        <w:t>Katsanos</w:t>
      </w:r>
      <w:proofErr w:type="spellEnd"/>
      <w:r w:rsidRPr="006D3259">
        <w:rPr>
          <w:rFonts w:cstheme="minorHAnsi"/>
        </w:rPr>
        <w:t xml:space="preserve"> A, </w:t>
      </w:r>
      <w:proofErr w:type="spellStart"/>
      <w:r w:rsidRPr="006D3259">
        <w:rPr>
          <w:rFonts w:cstheme="minorHAnsi"/>
        </w:rPr>
        <w:t>Garhofer</w:t>
      </w:r>
      <w:proofErr w:type="spellEnd"/>
      <w:r w:rsidRPr="006D3259">
        <w:rPr>
          <w:rFonts w:cstheme="minorHAnsi"/>
        </w:rPr>
        <w:t xml:space="preserve"> G, </w:t>
      </w:r>
      <w:proofErr w:type="spellStart"/>
      <w:r w:rsidRPr="006D3259">
        <w:rPr>
          <w:rFonts w:cstheme="minorHAnsi"/>
        </w:rPr>
        <w:t>Kalko</w:t>
      </w:r>
      <w:proofErr w:type="spellEnd"/>
      <w:r w:rsidRPr="006D3259">
        <w:rPr>
          <w:rFonts w:cstheme="minorHAnsi"/>
        </w:rPr>
        <w:t xml:space="preserve"> M, </w:t>
      </w:r>
      <w:proofErr w:type="spellStart"/>
      <w:r w:rsidRPr="006D3259">
        <w:rPr>
          <w:rFonts w:cstheme="minorHAnsi"/>
        </w:rPr>
        <w:t>Prokosh</w:t>
      </w:r>
      <w:proofErr w:type="spellEnd"/>
      <w:r w:rsidRPr="006D3259">
        <w:rPr>
          <w:rFonts w:cstheme="minorHAnsi"/>
        </w:rPr>
        <w:t xml:space="preserve"> V, </w:t>
      </w:r>
      <w:r w:rsidRPr="006D3259">
        <w:rPr>
          <w:rFonts w:cstheme="minorHAnsi"/>
          <w:b/>
          <w:bCs/>
          <w:u w:val="single"/>
        </w:rPr>
        <w:t>Al-Rajhi A</w:t>
      </w:r>
      <w:r w:rsidRPr="006D3259">
        <w:rPr>
          <w:rFonts w:cstheme="minorHAnsi"/>
          <w:u w:val="single"/>
        </w:rPr>
        <w:t>,</w:t>
      </w:r>
      <w:r w:rsidRPr="006D3259">
        <w:rPr>
          <w:rFonts w:cstheme="minorHAnsi"/>
        </w:rPr>
        <w:t xml:space="preserve"> Lum F, Gedde S, Li, T (2020). </w:t>
      </w:r>
      <w:r w:rsidRPr="0092673B">
        <w:rPr>
          <w:rFonts w:cstheme="minorHAnsi"/>
          <w:i/>
          <w:iCs/>
        </w:rPr>
        <w:t xml:space="preserve">What do we really know about the effectiveness of glaucoma interventions: An Overview of Systematic </w:t>
      </w:r>
      <w:proofErr w:type="gramStart"/>
      <w:r w:rsidRPr="0092673B">
        <w:rPr>
          <w:rFonts w:cstheme="minorHAnsi"/>
          <w:i/>
          <w:iCs/>
        </w:rPr>
        <w:t>Reviews</w:t>
      </w:r>
      <w:r w:rsidRPr="006D3259">
        <w:rPr>
          <w:rFonts w:cstheme="minorHAnsi"/>
        </w:rPr>
        <w:t>.</w:t>
      </w:r>
      <w:proofErr w:type="gramEnd"/>
      <w:r w:rsidRPr="006D3259">
        <w:rPr>
          <w:rFonts w:cstheme="minorHAnsi"/>
        </w:rPr>
        <w:t xml:space="preserve"> Under Review –</w:t>
      </w:r>
      <w:r w:rsidRPr="006D3259">
        <w:rPr>
          <w:rFonts w:cstheme="minorHAnsi"/>
          <w:i/>
          <w:iCs/>
        </w:rPr>
        <w:t xml:space="preserve"> Ophthalmology</w:t>
      </w:r>
      <w:r w:rsidRPr="006D3259">
        <w:rPr>
          <w:rFonts w:cstheme="minorHAnsi"/>
        </w:rPr>
        <w:t>.</w:t>
      </w:r>
    </w:p>
    <w:p w14:paraId="4AECCCCF" w14:textId="77777777" w:rsidR="006D3259" w:rsidRPr="006D3259" w:rsidRDefault="006D3259" w:rsidP="006D3259">
      <w:pPr>
        <w:contextualSpacing/>
        <w:rPr>
          <w:rFonts w:cstheme="minorHAnsi"/>
          <w:color w:val="333333"/>
          <w:shd w:val="clear" w:color="auto" w:fill="FFFFFF"/>
        </w:rPr>
      </w:pPr>
      <w:r w:rsidRPr="006D3259">
        <w:rPr>
          <w:rFonts w:cstheme="minorHAnsi"/>
          <w:color w:val="000000"/>
        </w:rPr>
        <w:t xml:space="preserve">Le J, Qureshi R, </w:t>
      </w:r>
      <w:proofErr w:type="spellStart"/>
      <w:r w:rsidRPr="006D3259">
        <w:rPr>
          <w:rFonts w:cstheme="minorHAnsi"/>
          <w:color w:val="000000"/>
        </w:rPr>
        <w:t>Twose</w:t>
      </w:r>
      <w:proofErr w:type="spellEnd"/>
      <w:r w:rsidRPr="006D3259">
        <w:rPr>
          <w:rFonts w:cstheme="minorHAnsi"/>
          <w:color w:val="000000"/>
        </w:rPr>
        <w:t xml:space="preserve"> C, Rosman L, Han G, </w:t>
      </w:r>
      <w:proofErr w:type="spellStart"/>
      <w:r w:rsidRPr="006D3259">
        <w:rPr>
          <w:rFonts w:cstheme="minorHAnsi"/>
          <w:color w:val="000000"/>
        </w:rPr>
        <w:t>Fapohunda</w:t>
      </w:r>
      <w:proofErr w:type="spellEnd"/>
      <w:r w:rsidRPr="006D3259">
        <w:rPr>
          <w:rFonts w:cstheme="minorHAnsi"/>
          <w:color w:val="000000"/>
        </w:rPr>
        <w:t xml:space="preserve"> K, Saldanha I, Scherer R, Lum F, </w:t>
      </w:r>
      <w:r w:rsidRPr="006D3259">
        <w:rPr>
          <w:rFonts w:cstheme="minorHAnsi"/>
          <w:b/>
          <w:color w:val="000000"/>
          <w:u w:val="single"/>
        </w:rPr>
        <w:t>Al-Rajhi A</w:t>
      </w:r>
      <w:r w:rsidRPr="006D3259">
        <w:rPr>
          <w:rFonts w:cstheme="minorHAnsi"/>
          <w:bCs/>
          <w:color w:val="000000"/>
        </w:rPr>
        <w:t>, Musch D,</w:t>
      </w:r>
      <w:r w:rsidRPr="006D3259">
        <w:rPr>
          <w:rFonts w:cstheme="minorHAnsi"/>
          <w:color w:val="000000"/>
        </w:rPr>
        <w:t xml:space="preserve"> Hawkins B, Dickersin K, Li T (2019). </w:t>
      </w:r>
      <w:r w:rsidRPr="0092673B">
        <w:rPr>
          <w:rFonts w:cstheme="minorHAnsi"/>
          <w:i/>
          <w:iCs/>
          <w:color w:val="333333"/>
          <w:shd w:val="clear" w:color="auto" w:fill="FFFFFF"/>
        </w:rPr>
        <w:t>Evaluation of Systematic Reviews of Interventions for Retina and Vitreous Conditions</w:t>
      </w:r>
      <w:r w:rsidRPr="006D3259">
        <w:rPr>
          <w:rFonts w:cstheme="minorHAnsi"/>
          <w:color w:val="000000"/>
        </w:rPr>
        <w:t xml:space="preserve">. </w:t>
      </w:r>
      <w:r w:rsidRPr="0092673B">
        <w:rPr>
          <w:rFonts w:cstheme="minorHAnsi"/>
          <w:b/>
          <w:bCs/>
          <w:iCs/>
          <w:color w:val="000000"/>
        </w:rPr>
        <w:t xml:space="preserve">JAMA </w:t>
      </w:r>
      <w:proofErr w:type="spellStart"/>
      <w:r w:rsidRPr="0092673B">
        <w:rPr>
          <w:rFonts w:cstheme="minorHAnsi"/>
          <w:b/>
          <w:bCs/>
          <w:iCs/>
          <w:color w:val="000000"/>
        </w:rPr>
        <w:t>Ophthalmol</w:t>
      </w:r>
      <w:proofErr w:type="spellEnd"/>
      <w:r w:rsidRPr="006D3259">
        <w:rPr>
          <w:rFonts w:cstheme="minorHAnsi"/>
          <w:i/>
          <w:color w:val="000000"/>
        </w:rPr>
        <w:t xml:space="preserve">. </w:t>
      </w:r>
      <w:r w:rsidRPr="006D3259">
        <w:rPr>
          <w:rFonts w:cstheme="minorHAnsi"/>
          <w:color w:val="333333"/>
          <w:shd w:val="clear" w:color="auto" w:fill="FFFFFF"/>
        </w:rPr>
        <w:t>Published online October 10, 2019. doi:10.1001/jamaophthalmol.2019.4016.</w:t>
      </w:r>
    </w:p>
    <w:p w14:paraId="797A10D7" w14:textId="77777777" w:rsidR="006D3259" w:rsidRPr="006D3259" w:rsidRDefault="006D3259" w:rsidP="006D3259">
      <w:pPr>
        <w:contextualSpacing/>
        <w:rPr>
          <w:rFonts w:cstheme="minorHAnsi"/>
          <w:color w:val="000000"/>
        </w:rPr>
      </w:pPr>
    </w:p>
    <w:p w14:paraId="5AE4FAAB" w14:textId="77777777" w:rsidR="006D3259" w:rsidRPr="006D3259" w:rsidRDefault="006D3259" w:rsidP="006D3259">
      <w:pPr>
        <w:rPr>
          <w:rFonts w:cstheme="minorHAnsi"/>
          <w:color w:val="000000"/>
        </w:rPr>
      </w:pPr>
      <w:r w:rsidRPr="006D3259">
        <w:rPr>
          <w:rFonts w:cstheme="minorHAnsi"/>
          <w:color w:val="000000"/>
        </w:rPr>
        <w:t xml:space="preserve">Mathews A, </w:t>
      </w:r>
      <w:r w:rsidRPr="006D3259">
        <w:rPr>
          <w:rFonts w:cstheme="minorHAnsi"/>
          <w:b/>
          <w:color w:val="000000"/>
          <w:u w:val="single"/>
        </w:rPr>
        <w:t>Al-Rajhi A</w:t>
      </w:r>
      <w:r w:rsidRPr="006D3259">
        <w:rPr>
          <w:rFonts w:cstheme="minorHAnsi"/>
          <w:color w:val="000000"/>
        </w:rPr>
        <w:t xml:space="preserve">, Kane A. (2018). </w:t>
      </w:r>
      <w:r w:rsidRPr="0092673B">
        <w:rPr>
          <w:rFonts w:cstheme="minorHAnsi"/>
          <w:i/>
          <w:iCs/>
          <w:color w:val="000000"/>
        </w:rPr>
        <w:t xml:space="preserve">Validation of a photographic seafood portion guide to </w:t>
      </w:r>
      <w:proofErr w:type="gramStart"/>
      <w:r w:rsidRPr="0092673B">
        <w:rPr>
          <w:rFonts w:cstheme="minorHAnsi"/>
          <w:i/>
          <w:iCs/>
          <w:color w:val="000000"/>
        </w:rPr>
        <w:t>asses</w:t>
      </w:r>
      <w:proofErr w:type="gramEnd"/>
      <w:r w:rsidRPr="0092673B">
        <w:rPr>
          <w:rFonts w:cstheme="minorHAnsi"/>
          <w:i/>
          <w:iCs/>
          <w:color w:val="000000"/>
        </w:rPr>
        <w:t xml:space="preserve"> fish and shrimp intakes</w:t>
      </w:r>
      <w:r w:rsidRPr="006D3259">
        <w:rPr>
          <w:rFonts w:cstheme="minorHAnsi"/>
          <w:color w:val="000000"/>
        </w:rPr>
        <w:t xml:space="preserve">. </w:t>
      </w:r>
      <w:r w:rsidRPr="0092673B">
        <w:rPr>
          <w:rFonts w:cstheme="minorHAnsi"/>
          <w:b/>
          <w:bCs/>
          <w:iCs/>
          <w:color w:val="000000"/>
        </w:rPr>
        <w:t>Public Health Nutrition</w:t>
      </w:r>
      <w:r w:rsidRPr="006D3259">
        <w:rPr>
          <w:rFonts w:cstheme="minorHAnsi"/>
          <w:color w:val="000000"/>
        </w:rPr>
        <w:t>, 21(5), 896-901.</w:t>
      </w:r>
    </w:p>
    <w:p w14:paraId="1D7167FC" w14:textId="77777777" w:rsidR="006D3259" w:rsidRPr="006D3259" w:rsidRDefault="006D3259" w:rsidP="006D3259">
      <w:pPr>
        <w:rPr>
          <w:rFonts w:eastAsia="Times New Roman" w:cstheme="minorHAnsi"/>
        </w:rPr>
      </w:pPr>
      <w:r w:rsidRPr="006D3259">
        <w:rPr>
          <w:rFonts w:eastAsia="Times New Roman" w:cstheme="minorHAnsi"/>
          <w:b/>
          <w:u w:val="single"/>
        </w:rPr>
        <w:t>Al-Rajhi A</w:t>
      </w:r>
      <w:r w:rsidRPr="006D3259">
        <w:rPr>
          <w:rFonts w:eastAsia="Times New Roman" w:cstheme="minorHAnsi"/>
        </w:rPr>
        <w:t xml:space="preserve">, Mathews A (2015). </w:t>
      </w:r>
      <w:r w:rsidRPr="0092673B">
        <w:rPr>
          <w:rFonts w:eastAsia="Times New Roman" w:cstheme="minorHAnsi"/>
          <w:i/>
          <w:iCs/>
        </w:rPr>
        <w:t>Decreased sedentary behaviors of undergraduate students after completion of a preventative health course</w:t>
      </w:r>
      <w:r w:rsidRPr="006D3259">
        <w:rPr>
          <w:rFonts w:eastAsia="Times New Roman" w:cstheme="minorHAnsi"/>
        </w:rPr>
        <w:t>. (University of Florida Doctoral Dissertation).</w:t>
      </w:r>
    </w:p>
    <w:p w14:paraId="22AEFDAC" w14:textId="4AEEEC49" w:rsidR="006D3259" w:rsidRPr="006D3259" w:rsidRDefault="006D3259" w:rsidP="006D3259">
      <w:pPr>
        <w:rPr>
          <w:rFonts w:cstheme="minorHAnsi"/>
          <w:color w:val="000000"/>
        </w:rPr>
      </w:pPr>
      <w:r w:rsidRPr="006D3259">
        <w:rPr>
          <w:rFonts w:cstheme="minorHAnsi"/>
          <w:color w:val="000000"/>
        </w:rPr>
        <w:t xml:space="preserve">Mathews A, </w:t>
      </w:r>
      <w:proofErr w:type="spellStart"/>
      <w:r w:rsidRPr="006D3259">
        <w:rPr>
          <w:rFonts w:cstheme="minorHAnsi"/>
          <w:color w:val="000000"/>
        </w:rPr>
        <w:t>Hanvivatpong</w:t>
      </w:r>
      <w:proofErr w:type="spellEnd"/>
      <w:r w:rsidRPr="006D3259">
        <w:rPr>
          <w:rFonts w:cstheme="minorHAnsi"/>
          <w:color w:val="000000"/>
        </w:rPr>
        <w:t xml:space="preserve"> M, </w:t>
      </w:r>
      <w:r w:rsidRPr="006D3259">
        <w:rPr>
          <w:rFonts w:cstheme="minorHAnsi"/>
          <w:b/>
          <w:color w:val="000000"/>
          <w:u w:val="single"/>
        </w:rPr>
        <w:t>Al-Rajhi A</w:t>
      </w:r>
      <w:r w:rsidRPr="006D3259">
        <w:rPr>
          <w:rFonts w:cstheme="minorHAnsi"/>
          <w:color w:val="000000"/>
        </w:rPr>
        <w:t xml:space="preserve">, Kane A. (2013). Validation of a photographic portion guide to assess seafood intake. </w:t>
      </w:r>
      <w:r w:rsidRPr="006D3259">
        <w:rPr>
          <w:rFonts w:cstheme="minorHAnsi"/>
          <w:i/>
          <w:color w:val="000000"/>
        </w:rPr>
        <w:t>J of the American Academy of Nutrition and Dietetics</w:t>
      </w:r>
      <w:r w:rsidRPr="006D3259">
        <w:rPr>
          <w:rFonts w:cstheme="minorHAnsi"/>
          <w:color w:val="000000"/>
        </w:rPr>
        <w:t>, 113(9), Supp. A12.</w:t>
      </w:r>
    </w:p>
    <w:p w14:paraId="481879DC" w14:textId="24CF7A40" w:rsidR="006D3259" w:rsidRPr="006D3259" w:rsidRDefault="0012667C" w:rsidP="006D3259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METHODOLOGICAL </w:t>
      </w:r>
      <w:r w:rsidR="006D3259">
        <w:rPr>
          <w:rFonts w:cstheme="minorHAnsi"/>
          <w:b/>
          <w:bCs/>
          <w:color w:val="000000"/>
          <w:sz w:val="24"/>
          <w:szCs w:val="24"/>
        </w:rPr>
        <w:t xml:space="preserve">GARDING OF </w:t>
      </w:r>
      <w:r w:rsidR="006D3259" w:rsidRPr="006D3259">
        <w:rPr>
          <w:rFonts w:cstheme="minorHAnsi"/>
          <w:b/>
          <w:bCs/>
          <w:color w:val="000000"/>
          <w:sz w:val="24"/>
          <w:szCs w:val="24"/>
        </w:rPr>
        <w:t>CLINICAL GUIDELINES</w:t>
      </w:r>
    </w:p>
    <w:p w14:paraId="398A2081" w14:textId="7BF77263" w:rsidR="006D3259" w:rsidRPr="006D3259" w:rsidRDefault="006D3259" w:rsidP="006D325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preformed </w:t>
      </w:r>
      <w:r w:rsidRPr="0012667C">
        <w:rPr>
          <w:rFonts w:cstheme="minorHAnsi"/>
          <w:b/>
          <w:bCs/>
          <w:color w:val="000000"/>
        </w:rPr>
        <w:t>grading</w:t>
      </w:r>
      <w:r>
        <w:rPr>
          <w:rFonts w:cstheme="minorHAnsi"/>
          <w:color w:val="000000"/>
        </w:rPr>
        <w:t xml:space="preserve"> of medical guideline</w:t>
      </w:r>
      <w:r w:rsidR="0012667C">
        <w:rPr>
          <w:rFonts w:cstheme="minorHAnsi"/>
          <w:color w:val="000000"/>
        </w:rPr>
        <w:t xml:space="preserve"> recommendations</w:t>
      </w:r>
      <w:r>
        <w:rPr>
          <w:rFonts w:cstheme="minorHAnsi"/>
          <w:color w:val="000000"/>
        </w:rPr>
        <w:t xml:space="preserve"> for t</w:t>
      </w:r>
      <w:r w:rsidRPr="006D3259">
        <w:rPr>
          <w:rFonts w:cstheme="minorHAnsi"/>
          <w:color w:val="000000"/>
        </w:rPr>
        <w:t xml:space="preserve">he American Academy of Ophthalmology’s </w:t>
      </w:r>
      <w:hyperlink r:id="rId6" w:history="1">
        <w:r w:rsidRPr="006D3259">
          <w:rPr>
            <w:rStyle w:val="Hyperlink"/>
            <w:rFonts w:cstheme="minorHAnsi"/>
          </w:rPr>
          <w:t>Preferred Practice Patterns</w:t>
        </w:r>
      </w:hyperlink>
      <w:r>
        <w:rPr>
          <w:rFonts w:cstheme="minorHAnsi"/>
          <w:color w:val="000000"/>
        </w:rPr>
        <w:t>.</w:t>
      </w:r>
      <w:r w:rsidRPr="006D325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Medical recommendations are </w:t>
      </w:r>
      <w:r w:rsidRPr="006D3259">
        <w:rPr>
          <w:rFonts w:cstheme="minorHAnsi"/>
          <w:color w:val="000000"/>
        </w:rPr>
        <w:t>supported by real world evidence and systematic reviews/meta-analysis.</w:t>
      </w:r>
      <w:r w:rsidR="0012667C">
        <w:rPr>
          <w:rFonts w:cstheme="minorHAnsi"/>
          <w:color w:val="000000"/>
        </w:rPr>
        <w:t xml:space="preserve"> Both the Scottish Intercollegiate Guideline Network (SIGN) and the Grading of Recommendations Assessments, Development and Evaluation (GRADE) are used to assess the body of evidence.</w:t>
      </w:r>
      <w:r w:rsidRPr="006D3259">
        <w:rPr>
          <w:rFonts w:cstheme="minorHAnsi"/>
          <w:color w:val="000000"/>
        </w:rPr>
        <w:t xml:space="preserve"> </w:t>
      </w:r>
    </w:p>
    <w:p w14:paraId="3C6F2C5B" w14:textId="24FAF30C" w:rsidR="006D3259" w:rsidRPr="0012667C" w:rsidRDefault="006D3259" w:rsidP="0012667C">
      <w:pPr>
        <w:pStyle w:val="ListParagraph"/>
        <w:numPr>
          <w:ilvl w:val="0"/>
          <w:numId w:val="2"/>
        </w:numPr>
        <w:rPr>
          <w:rFonts w:cstheme="minorHAnsi"/>
          <w:color w:val="000000"/>
          <w:sz w:val="22"/>
          <w:szCs w:val="22"/>
        </w:rPr>
      </w:pPr>
      <w:r w:rsidRPr="0012667C">
        <w:rPr>
          <w:rFonts w:cstheme="minorHAnsi"/>
          <w:color w:val="000000"/>
          <w:sz w:val="22"/>
          <w:szCs w:val="22"/>
        </w:rPr>
        <w:t>2020 Glaucoma PPP</w:t>
      </w:r>
    </w:p>
    <w:p w14:paraId="100574B4" w14:textId="77777777" w:rsidR="006D3259" w:rsidRPr="0012667C" w:rsidRDefault="006D3259" w:rsidP="0012667C">
      <w:pPr>
        <w:pStyle w:val="ListParagraph"/>
        <w:ind w:left="360" w:firstLine="360"/>
        <w:rPr>
          <w:rFonts w:cstheme="minorHAnsi"/>
          <w:color w:val="000000"/>
          <w:sz w:val="22"/>
          <w:szCs w:val="22"/>
        </w:rPr>
      </w:pPr>
      <w:r w:rsidRPr="0012667C">
        <w:rPr>
          <w:rFonts w:cstheme="minorHAnsi"/>
          <w:color w:val="000000"/>
          <w:sz w:val="22"/>
          <w:szCs w:val="22"/>
        </w:rPr>
        <w:t>Comprehensive Adult Medical Eye Evaluations</w:t>
      </w:r>
    </w:p>
    <w:p w14:paraId="3C5AE878" w14:textId="77777777" w:rsidR="006D3259" w:rsidRPr="0012667C" w:rsidRDefault="006D3259" w:rsidP="0012667C">
      <w:pPr>
        <w:pStyle w:val="ListParagraph"/>
        <w:ind w:left="360" w:firstLine="360"/>
        <w:rPr>
          <w:rFonts w:cstheme="minorHAnsi"/>
          <w:color w:val="000000"/>
          <w:sz w:val="22"/>
          <w:szCs w:val="22"/>
        </w:rPr>
      </w:pPr>
      <w:r w:rsidRPr="0012667C">
        <w:rPr>
          <w:rFonts w:cstheme="minorHAnsi"/>
          <w:color w:val="000000"/>
          <w:sz w:val="22"/>
          <w:szCs w:val="22"/>
        </w:rPr>
        <w:t>Primary Angle Closure (2020 – under review)</w:t>
      </w:r>
    </w:p>
    <w:p w14:paraId="219CBCBD" w14:textId="796EDE29" w:rsidR="006D3259" w:rsidRPr="0012667C" w:rsidRDefault="006D3259" w:rsidP="0012667C">
      <w:pPr>
        <w:pStyle w:val="ListParagraph"/>
        <w:ind w:left="360" w:firstLine="360"/>
        <w:rPr>
          <w:rFonts w:cstheme="minorHAnsi"/>
          <w:color w:val="000000"/>
          <w:sz w:val="22"/>
          <w:szCs w:val="22"/>
        </w:rPr>
      </w:pPr>
      <w:r w:rsidRPr="0012667C">
        <w:rPr>
          <w:rFonts w:cstheme="minorHAnsi"/>
          <w:color w:val="000000"/>
          <w:sz w:val="22"/>
          <w:szCs w:val="22"/>
        </w:rPr>
        <w:t>Primary Open Angle Glaucoma/Suspect (2020 – under review)</w:t>
      </w:r>
    </w:p>
    <w:p w14:paraId="15016FCF" w14:textId="4A4AEB66" w:rsidR="006D3259" w:rsidRPr="0012667C" w:rsidRDefault="006D3259" w:rsidP="0012667C">
      <w:pPr>
        <w:pStyle w:val="ListParagraph"/>
        <w:numPr>
          <w:ilvl w:val="0"/>
          <w:numId w:val="2"/>
        </w:numPr>
        <w:rPr>
          <w:rFonts w:cstheme="minorHAnsi"/>
          <w:color w:val="000000"/>
          <w:sz w:val="22"/>
          <w:szCs w:val="22"/>
        </w:rPr>
      </w:pPr>
      <w:r w:rsidRPr="0012667C">
        <w:rPr>
          <w:rFonts w:cstheme="minorHAnsi"/>
          <w:color w:val="000000"/>
          <w:sz w:val="22"/>
          <w:szCs w:val="22"/>
        </w:rPr>
        <w:t>2019 Retina/Vitreous Diseases PPP</w:t>
      </w:r>
    </w:p>
    <w:p w14:paraId="732B272C" w14:textId="73CE21B6" w:rsidR="006D3259" w:rsidRPr="0012667C" w:rsidRDefault="0012667C" w:rsidP="0012667C">
      <w:pPr>
        <w:pStyle w:val="ListParagraph"/>
        <w:tabs>
          <w:tab w:val="left" w:pos="1270"/>
        </w:tabs>
        <w:ind w:left="0"/>
        <w:rPr>
          <w:rFonts w:cstheme="minorHAnsi"/>
          <w:color w:val="auto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  </w:t>
      </w:r>
      <w:r w:rsidR="006D3259" w:rsidRPr="0012667C">
        <w:rPr>
          <w:rFonts w:cstheme="minorHAnsi"/>
          <w:sz w:val="22"/>
          <w:szCs w:val="22"/>
        </w:rPr>
        <w:t xml:space="preserve">Adult Strabismus </w:t>
      </w:r>
      <w:r w:rsidR="006D3259" w:rsidRPr="0012667C">
        <w:rPr>
          <w:rFonts w:cstheme="minorHAnsi"/>
          <w:color w:val="auto"/>
          <w:sz w:val="22"/>
          <w:szCs w:val="22"/>
        </w:rPr>
        <w:tab/>
      </w:r>
    </w:p>
    <w:p w14:paraId="09E59B56" w14:textId="462E2855" w:rsidR="0012667C" w:rsidRDefault="0012667C" w:rsidP="0012667C">
      <w:pPr>
        <w:tabs>
          <w:tab w:val="left" w:pos="127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r w:rsidR="006D3259" w:rsidRPr="0012667C">
        <w:rPr>
          <w:rFonts w:cstheme="minorHAnsi"/>
        </w:rPr>
        <w:t>Age-Related Macular Degeneration</w:t>
      </w:r>
    </w:p>
    <w:p w14:paraId="2D247844" w14:textId="4D65C0D7" w:rsidR="006D3259" w:rsidRPr="0012667C" w:rsidRDefault="0012667C" w:rsidP="0012667C">
      <w:pPr>
        <w:tabs>
          <w:tab w:val="left" w:pos="127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r w:rsidR="006D3259" w:rsidRPr="0012667C">
        <w:rPr>
          <w:rFonts w:cstheme="minorHAnsi"/>
        </w:rPr>
        <w:t>Diabetic Retinopathy</w:t>
      </w:r>
    </w:p>
    <w:p w14:paraId="6B269C3F" w14:textId="0CFEBB78" w:rsidR="006D3259" w:rsidRPr="0012667C" w:rsidRDefault="006D3259" w:rsidP="0012667C">
      <w:pPr>
        <w:pStyle w:val="ListParagraph"/>
        <w:numPr>
          <w:ilvl w:val="0"/>
          <w:numId w:val="2"/>
        </w:numPr>
        <w:rPr>
          <w:rFonts w:cstheme="minorHAnsi"/>
          <w:color w:val="000000"/>
          <w:sz w:val="22"/>
          <w:szCs w:val="22"/>
        </w:rPr>
      </w:pPr>
      <w:r w:rsidRPr="0012667C">
        <w:rPr>
          <w:rFonts w:cstheme="minorHAnsi"/>
          <w:color w:val="000000"/>
          <w:sz w:val="22"/>
          <w:szCs w:val="22"/>
        </w:rPr>
        <w:t>201</w:t>
      </w:r>
      <w:r w:rsidR="0012667C">
        <w:rPr>
          <w:rFonts w:cstheme="minorHAnsi"/>
          <w:color w:val="000000"/>
          <w:sz w:val="22"/>
          <w:szCs w:val="22"/>
        </w:rPr>
        <w:t>8</w:t>
      </w:r>
      <w:r w:rsidRPr="0012667C">
        <w:rPr>
          <w:rFonts w:cstheme="minorHAnsi"/>
          <w:color w:val="000000"/>
          <w:sz w:val="22"/>
          <w:szCs w:val="22"/>
        </w:rPr>
        <w:t xml:space="preserve"> Cornea and External Diseases PPP</w:t>
      </w:r>
    </w:p>
    <w:p w14:paraId="43450B08" w14:textId="77777777" w:rsidR="006D3259" w:rsidRPr="0012667C" w:rsidRDefault="006D3259" w:rsidP="0012667C">
      <w:pPr>
        <w:pStyle w:val="ListParagraph"/>
        <w:ind w:left="360" w:firstLine="360"/>
        <w:rPr>
          <w:rFonts w:cstheme="minorHAnsi"/>
          <w:color w:val="auto"/>
          <w:sz w:val="22"/>
          <w:szCs w:val="22"/>
        </w:rPr>
      </w:pPr>
      <w:r w:rsidRPr="0012667C">
        <w:rPr>
          <w:rFonts w:cstheme="minorHAnsi"/>
          <w:sz w:val="22"/>
          <w:szCs w:val="22"/>
        </w:rPr>
        <w:t>Bacterial Keratitis</w:t>
      </w:r>
    </w:p>
    <w:p w14:paraId="4AC50C58" w14:textId="77777777" w:rsidR="006D3259" w:rsidRPr="0012667C" w:rsidRDefault="006D3259" w:rsidP="0012667C">
      <w:pPr>
        <w:pStyle w:val="ListParagraph"/>
        <w:ind w:left="360" w:firstLine="360"/>
        <w:rPr>
          <w:rFonts w:cstheme="minorHAnsi"/>
          <w:color w:val="auto"/>
          <w:sz w:val="22"/>
          <w:szCs w:val="22"/>
        </w:rPr>
      </w:pPr>
      <w:r w:rsidRPr="0012667C">
        <w:rPr>
          <w:rFonts w:cstheme="minorHAnsi"/>
          <w:sz w:val="22"/>
          <w:szCs w:val="22"/>
        </w:rPr>
        <w:t>Blepharitis</w:t>
      </w:r>
    </w:p>
    <w:p w14:paraId="04776F07" w14:textId="77777777" w:rsidR="006D3259" w:rsidRPr="0012667C" w:rsidRDefault="006D3259" w:rsidP="0012667C">
      <w:pPr>
        <w:pStyle w:val="ListParagraph"/>
        <w:ind w:left="360" w:firstLine="360"/>
        <w:rPr>
          <w:rFonts w:cstheme="minorHAnsi"/>
          <w:color w:val="auto"/>
          <w:sz w:val="22"/>
          <w:szCs w:val="22"/>
        </w:rPr>
      </w:pPr>
      <w:r w:rsidRPr="0012667C">
        <w:rPr>
          <w:rFonts w:cstheme="minorHAnsi"/>
          <w:sz w:val="22"/>
          <w:szCs w:val="22"/>
        </w:rPr>
        <w:t>Conjunctivitis</w:t>
      </w:r>
    </w:p>
    <w:p w14:paraId="74EB17F6" w14:textId="26067007" w:rsidR="006D3259" w:rsidRPr="0012667C" w:rsidRDefault="006D3259" w:rsidP="0012667C">
      <w:pPr>
        <w:pStyle w:val="ListParagraph"/>
        <w:ind w:left="360" w:firstLine="360"/>
        <w:rPr>
          <w:rFonts w:cstheme="minorHAnsi"/>
          <w:sz w:val="22"/>
          <w:szCs w:val="22"/>
        </w:rPr>
      </w:pPr>
      <w:r w:rsidRPr="0012667C">
        <w:rPr>
          <w:rFonts w:cstheme="minorHAnsi"/>
          <w:sz w:val="22"/>
          <w:szCs w:val="22"/>
        </w:rPr>
        <w:t xml:space="preserve">Dry Eye </w:t>
      </w:r>
    </w:p>
    <w:p w14:paraId="658BA341" w14:textId="72C7D6B9" w:rsidR="006D3259" w:rsidRDefault="006D3259" w:rsidP="006D3259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METHODOGICAL GRADING OF MEDICAL TECHNOLOGIES/THERAPIES</w:t>
      </w:r>
    </w:p>
    <w:p w14:paraId="31D9123F" w14:textId="1789A126" w:rsidR="006D3259" w:rsidRDefault="006D3259" w:rsidP="006D325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preformed </w:t>
      </w:r>
      <w:r w:rsidRPr="0012667C">
        <w:rPr>
          <w:rFonts w:cstheme="minorHAnsi"/>
          <w:b/>
          <w:bCs/>
          <w:color w:val="000000"/>
        </w:rPr>
        <w:t>methodological grading</w:t>
      </w:r>
      <w:r>
        <w:rPr>
          <w:rFonts w:cstheme="minorHAnsi"/>
          <w:color w:val="000000"/>
        </w:rPr>
        <w:t xml:space="preserve"> </w:t>
      </w:r>
      <w:r w:rsidR="0012667C">
        <w:rPr>
          <w:rFonts w:cstheme="minorHAnsi"/>
          <w:color w:val="000000"/>
        </w:rPr>
        <w:t xml:space="preserve">using Oxford Centre for Evidence-Based Medicine 2011 Levels of Evidence </w:t>
      </w:r>
      <w:r>
        <w:rPr>
          <w:rFonts w:cstheme="minorHAnsi"/>
          <w:color w:val="000000"/>
        </w:rPr>
        <w:t>(alongside panel methodologist)</w:t>
      </w:r>
      <w:r>
        <w:rPr>
          <w:rFonts w:cstheme="minorHAnsi"/>
          <w:color w:val="000000"/>
        </w:rPr>
        <w:t xml:space="preserve"> of </w:t>
      </w:r>
      <w:r>
        <w:rPr>
          <w:rFonts w:cstheme="minorHAnsi"/>
          <w:color w:val="000000"/>
        </w:rPr>
        <w:t>observational studies that evaluate</w:t>
      </w:r>
      <w:r w:rsidR="005868B4">
        <w:rPr>
          <w:rFonts w:cstheme="minorHAnsi"/>
          <w:color w:val="000000"/>
        </w:rPr>
        <w:t xml:space="preserve"> </w:t>
      </w:r>
      <w:hyperlink r:id="rId7" w:history="1">
        <w:r w:rsidRPr="006D3259">
          <w:rPr>
            <w:rStyle w:val="Hyperlink"/>
            <w:rFonts w:cstheme="minorHAnsi"/>
          </w:rPr>
          <w:t>ophthalmic technologies/therapies</w:t>
        </w:r>
      </w:hyperlink>
      <w:r>
        <w:rPr>
          <w:rFonts w:cstheme="minorHAnsi"/>
          <w:color w:val="000000"/>
        </w:rPr>
        <w:t xml:space="preserve">. All publications accepted by the Journal </w:t>
      </w:r>
      <w:r w:rsidRPr="006D3259">
        <w:rPr>
          <w:rFonts w:cstheme="minorHAnsi"/>
          <w:i/>
          <w:iCs/>
          <w:color w:val="000000"/>
        </w:rPr>
        <w:t>Ophthalmology</w:t>
      </w:r>
      <w:r>
        <w:rPr>
          <w:rFonts w:cstheme="minorHAnsi"/>
          <w:color w:val="000000"/>
        </w:rPr>
        <w:t>.</w:t>
      </w:r>
    </w:p>
    <w:p w14:paraId="1C8C228A" w14:textId="663B840E" w:rsidR="0012667C" w:rsidRPr="0012667C" w:rsidRDefault="005868B4" w:rsidP="0012667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8" w:history="1">
        <w:r w:rsidRPr="0092673B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Binocular Treatment of Amblyopia</w:t>
        </w:r>
      </w:hyperlink>
      <w:r w:rsidRPr="0012667C">
        <w:rPr>
          <w:rFonts w:cstheme="minorHAnsi"/>
          <w:sz w:val="22"/>
          <w:szCs w:val="22"/>
        </w:rPr>
        <w:t xml:space="preserve"> (2019).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127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2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p261–272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0D5F66F7" w14:textId="7187FE73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9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Autologous Serum-Based Eye Drops for Treatment of Ocular Surface Disease</w:t>
        </w:r>
      </w:hyperlink>
      <w:r w:rsidRPr="0012667C">
        <w:rPr>
          <w:rFonts w:cstheme="minorHAnsi"/>
          <w:sz w:val="22"/>
          <w:szCs w:val="22"/>
        </w:rPr>
        <w:t xml:space="preserve"> (2019).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127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1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p128–133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78F7B276" w14:textId="0419EC39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0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Intraocular Lens Implantation During Early Childhood</w:t>
        </w:r>
      </w:hyperlink>
      <w:r w:rsidRPr="0012667C">
        <w:rPr>
          <w:rFonts w:cstheme="minorHAnsi"/>
          <w:sz w:val="22"/>
          <w:szCs w:val="22"/>
        </w:rPr>
        <w:t xml:space="preserve"> (2019).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126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10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p1454–1461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61D98ED9" w14:textId="39D38ECC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1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Swept-Source OCT for Evaluating the Lamina Cribrosa</w:t>
        </w:r>
      </w:hyperlink>
      <w:r w:rsidRPr="0012667C">
        <w:rPr>
          <w:rFonts w:cstheme="minorHAnsi"/>
          <w:sz w:val="22"/>
          <w:szCs w:val="22"/>
        </w:rPr>
        <w:t xml:space="preserve"> (2019).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126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9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p1315–1323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4CA59CF0" w14:textId="2AD8CE8B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2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The Effect of Anti-Vascular Endothelial Growth Factor Agents on Intraocular Pressure and Glaucoma</w:t>
        </w:r>
      </w:hyperlink>
      <w:r w:rsidRPr="001A59E5">
        <w:rPr>
          <w:rFonts w:cstheme="minorHAnsi"/>
          <w:i/>
          <w:iCs/>
          <w:sz w:val="22"/>
          <w:szCs w:val="22"/>
        </w:rPr>
        <w:t xml:space="preserve"> </w:t>
      </w:r>
      <w:r w:rsidRPr="0012667C">
        <w:rPr>
          <w:rFonts w:cstheme="minorHAnsi"/>
          <w:sz w:val="22"/>
          <w:szCs w:val="22"/>
        </w:rPr>
        <w:t xml:space="preserve">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126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4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p611–622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038AC220" w14:textId="7F4B821A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3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Use of Orthokeratology for the Prevention of Myopic Progression in Children</w:t>
        </w:r>
      </w:hyperlink>
      <w:r w:rsidRPr="0012667C">
        <w:rPr>
          <w:rFonts w:cstheme="minorHAnsi"/>
          <w:sz w:val="22"/>
          <w:szCs w:val="22"/>
        </w:rPr>
        <w:t xml:space="preserve"> 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126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4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p623–636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165F2126" w14:textId="026039A1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4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Use of β-Blockers for the Treatment of Periocular Hemangiomas in Infants</w:t>
        </w:r>
      </w:hyperlink>
      <w:r w:rsidRPr="0012667C">
        <w:rPr>
          <w:rFonts w:cstheme="minorHAnsi"/>
          <w:sz w:val="22"/>
          <w:szCs w:val="22"/>
        </w:rPr>
        <w:t xml:space="preserve"> 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126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1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p146–155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1A90282A" w14:textId="18A0D555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5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Safety and Efficacy of Anti-Vascular Endothelial Growth Factor Therapies for Neovascular Age-Related Macular Degeneration</w:t>
        </w:r>
      </w:hyperlink>
      <w:r w:rsidRPr="001A59E5">
        <w:rPr>
          <w:rFonts w:cstheme="minorHAnsi"/>
          <w:i/>
          <w:iCs/>
          <w:sz w:val="22"/>
          <w:szCs w:val="22"/>
        </w:rPr>
        <w:t xml:space="preserve"> </w:t>
      </w:r>
      <w:r w:rsidRPr="0012667C">
        <w:rPr>
          <w:rFonts w:cstheme="minorHAnsi"/>
          <w:sz w:val="22"/>
          <w:szCs w:val="22"/>
        </w:rPr>
        <w:t xml:space="preserve">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126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1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p55–63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75745FA3" w14:textId="46D42057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6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Spectral-Domain OCT: Helping the Clinician Diagnose Glaucoma</w:t>
        </w:r>
      </w:hyperlink>
      <w:r w:rsidRPr="0012667C">
        <w:rPr>
          <w:rFonts w:cstheme="minorHAnsi"/>
          <w:sz w:val="22"/>
          <w:szCs w:val="22"/>
        </w:rPr>
        <w:t xml:space="preserve"> 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125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11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p1817–1827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3BAD8F60" w14:textId="4946B946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7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Laser Peripheral Iridotomy in Primary Angle Closure</w:t>
        </w:r>
      </w:hyperlink>
      <w:r w:rsidRPr="001A59E5">
        <w:rPr>
          <w:rFonts w:cstheme="minorHAnsi"/>
          <w:i/>
          <w:iCs/>
          <w:sz w:val="22"/>
          <w:szCs w:val="22"/>
        </w:rPr>
        <w:t xml:space="preserve"> </w:t>
      </w:r>
      <w:r w:rsidRPr="0012667C">
        <w:rPr>
          <w:rFonts w:cstheme="minorHAnsi"/>
          <w:sz w:val="22"/>
          <w:szCs w:val="22"/>
        </w:rPr>
        <w:t xml:space="preserve">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125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7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p1110–1120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4EE9E22C" w14:textId="2A59EE5B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8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 xml:space="preserve">Balloon </w:t>
        </w:r>
        <w:proofErr w:type="spellStart"/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Dacryoplasty</w:t>
        </w:r>
        <w:proofErr w:type="spellEnd"/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 xml:space="preserve"> for Congenital Nasolacrimal Duct Obstruction</w:t>
        </w:r>
      </w:hyperlink>
      <w:r w:rsidRPr="0012667C">
        <w:rPr>
          <w:rFonts w:cstheme="minorHAnsi"/>
          <w:sz w:val="22"/>
          <w:szCs w:val="22"/>
        </w:rPr>
        <w:t xml:space="preserve"> 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125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10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p1654–1657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67542E17" w14:textId="6D2549F2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19" w:history="1">
        <w:proofErr w:type="spellStart"/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Chemodenervation</w:t>
        </w:r>
        <w:proofErr w:type="spellEnd"/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 xml:space="preserve"> for the Treatment of Facial Dystonia</w:t>
        </w:r>
      </w:hyperlink>
      <w:r w:rsidRPr="0012667C">
        <w:rPr>
          <w:rFonts w:cstheme="minorHAnsi"/>
          <w:sz w:val="22"/>
          <w:szCs w:val="22"/>
        </w:rPr>
        <w:t xml:space="preserve"> 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125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9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p1459–1467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63A64656" w14:textId="3F05F085" w:rsidR="005868B4" w:rsidRPr="0012667C" w:rsidRDefault="005868B4" w:rsidP="005868B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hyperlink r:id="rId20" w:history="1">
        <w:r w:rsidRPr="001A59E5">
          <w:rPr>
            <w:rStyle w:val="Hyperlink"/>
            <w:rFonts w:cstheme="minorHAnsi"/>
            <w:i/>
            <w:iCs/>
            <w:color w:val="auto"/>
            <w:spacing w:val="-8"/>
            <w:sz w:val="22"/>
            <w:szCs w:val="22"/>
            <w:u w:val="none"/>
            <w:shd w:val="clear" w:color="auto" w:fill="FFFFFF"/>
          </w:rPr>
          <w:t>Contact Lens Correction of Aphakia in Children</w:t>
        </w:r>
      </w:hyperlink>
      <w:r w:rsidRPr="0012667C">
        <w:rPr>
          <w:rFonts w:cstheme="minorHAnsi"/>
          <w:sz w:val="22"/>
          <w:szCs w:val="22"/>
        </w:rPr>
        <w:t xml:space="preserve"> (2018). </w:t>
      </w:r>
      <w:r w:rsidRPr="0012667C">
        <w:rPr>
          <w:rStyle w:val="journaltitlesp"/>
          <w:rFonts w:cstheme="minorHAnsi"/>
          <w:color w:val="auto"/>
          <w:sz w:val="22"/>
          <w:szCs w:val="22"/>
          <w:shd w:val="clear" w:color="auto" w:fill="FFFFFF"/>
        </w:rPr>
        <w:t>Ophthalmology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volsp"/>
          <w:rFonts w:cstheme="minorHAnsi"/>
          <w:color w:val="auto"/>
          <w:sz w:val="22"/>
          <w:szCs w:val="22"/>
          <w:shd w:val="clear" w:color="auto" w:fill="FFFFFF"/>
        </w:rPr>
        <w:t>Vol. 125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issuenumsp"/>
          <w:rFonts w:cstheme="minorHAnsi"/>
          <w:color w:val="auto"/>
          <w:sz w:val="22"/>
          <w:szCs w:val="22"/>
          <w:shd w:val="clear" w:color="auto" w:fill="FFFFFF"/>
        </w:rPr>
        <w:t>Issue 9</w:t>
      </w:r>
      <w:r w:rsidRPr="0012667C">
        <w:rPr>
          <w:rFonts w:cstheme="minorHAnsi"/>
          <w:sz w:val="22"/>
          <w:szCs w:val="22"/>
          <w:shd w:val="clear" w:color="auto" w:fill="FFFFFF"/>
        </w:rPr>
        <w:t>, 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p1452–1458</w:t>
      </w:r>
      <w:r w:rsidRPr="0012667C">
        <w:rPr>
          <w:rStyle w:val="pagerange"/>
          <w:rFonts w:cstheme="minorHAnsi"/>
          <w:color w:val="auto"/>
          <w:sz w:val="22"/>
          <w:szCs w:val="22"/>
          <w:shd w:val="clear" w:color="auto" w:fill="FFFFFF"/>
        </w:rPr>
        <w:t>.</w:t>
      </w:r>
    </w:p>
    <w:p w14:paraId="5D2D8F46" w14:textId="77777777" w:rsidR="006D3259" w:rsidRDefault="006D3259" w:rsidP="006D3259">
      <w:pPr>
        <w:rPr>
          <w:rFonts w:cstheme="minorHAnsi"/>
          <w:color w:val="000000"/>
        </w:rPr>
      </w:pPr>
    </w:p>
    <w:p w14:paraId="26304B47" w14:textId="420AC29E" w:rsidR="006D3259" w:rsidRPr="006D3259" w:rsidRDefault="006D3259" w:rsidP="006D3259">
      <w:pPr>
        <w:rPr>
          <w:rFonts w:cstheme="minorHAnsi"/>
          <w:color w:val="000000"/>
        </w:rPr>
      </w:pPr>
      <w:r w:rsidRPr="006D3259">
        <w:rPr>
          <w:rFonts w:cstheme="minorHAnsi"/>
          <w:color w:val="000000"/>
        </w:rPr>
        <w:t xml:space="preserve"> </w:t>
      </w:r>
    </w:p>
    <w:p w14:paraId="77856DE4" w14:textId="77777777" w:rsidR="006D3259" w:rsidRPr="006D3259" w:rsidRDefault="006D3259" w:rsidP="006D3259">
      <w:pPr>
        <w:rPr>
          <w:rFonts w:cstheme="minorHAnsi"/>
          <w:color w:val="000000"/>
          <w:sz w:val="24"/>
          <w:szCs w:val="24"/>
        </w:rPr>
      </w:pPr>
    </w:p>
    <w:p w14:paraId="60049256" w14:textId="23E714EF" w:rsidR="006D3259" w:rsidRDefault="006D3259" w:rsidP="006D3259">
      <w:pPr>
        <w:pStyle w:val="ListParagraph"/>
        <w:ind w:left="360"/>
        <w:rPr>
          <w:rFonts w:cstheme="minorHAnsi"/>
          <w:sz w:val="22"/>
          <w:szCs w:val="22"/>
        </w:rPr>
      </w:pPr>
    </w:p>
    <w:p w14:paraId="273612B9" w14:textId="77777777" w:rsidR="006D3259" w:rsidRPr="006D3259" w:rsidRDefault="006D3259" w:rsidP="006D3259">
      <w:pPr>
        <w:pStyle w:val="ListParagraph"/>
        <w:ind w:left="360"/>
        <w:rPr>
          <w:rFonts w:cstheme="minorHAnsi"/>
          <w:sz w:val="22"/>
          <w:szCs w:val="22"/>
        </w:rPr>
      </w:pPr>
    </w:p>
    <w:p w14:paraId="4AEB834A" w14:textId="77777777" w:rsidR="006D3259" w:rsidRPr="006D3259" w:rsidRDefault="006D3259" w:rsidP="006D3259">
      <w:pPr>
        <w:jc w:val="center"/>
        <w:rPr>
          <w:rFonts w:cstheme="minorHAnsi"/>
          <w:color w:val="000000"/>
        </w:rPr>
      </w:pPr>
    </w:p>
    <w:p w14:paraId="07D6946D" w14:textId="77777777" w:rsidR="006D3259" w:rsidRPr="006D3259" w:rsidRDefault="006D3259" w:rsidP="006D3259">
      <w:pPr>
        <w:rPr>
          <w:rFonts w:cstheme="minorHAnsi"/>
        </w:rPr>
      </w:pPr>
    </w:p>
    <w:sectPr w:rsidR="006D3259" w:rsidRPr="006D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55BC3"/>
    <w:multiLevelType w:val="hybridMultilevel"/>
    <w:tmpl w:val="AF44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E8419E"/>
    <w:multiLevelType w:val="hybridMultilevel"/>
    <w:tmpl w:val="EAE62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59"/>
    <w:rsid w:val="0012667C"/>
    <w:rsid w:val="001A59E5"/>
    <w:rsid w:val="005868B4"/>
    <w:rsid w:val="00694DD5"/>
    <w:rsid w:val="006D3259"/>
    <w:rsid w:val="0092673B"/>
    <w:rsid w:val="00CD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DFD9"/>
  <w15:chartTrackingRefBased/>
  <w15:docId w15:val="{088E1950-A16C-4C2B-8227-FEA5994E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3259"/>
    <w:rPr>
      <w:b/>
      <w:bCs/>
    </w:rPr>
  </w:style>
  <w:style w:type="character" w:styleId="Hyperlink">
    <w:name w:val="Hyperlink"/>
    <w:basedOn w:val="DefaultParagraphFont"/>
    <w:uiPriority w:val="99"/>
    <w:unhideWhenUsed/>
    <w:rsid w:val="006D32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259"/>
    <w:pPr>
      <w:spacing w:after="0" w:line="240" w:lineRule="auto"/>
      <w:ind w:left="720"/>
      <w:contextualSpacing/>
    </w:pPr>
    <w:rPr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3259"/>
    <w:rPr>
      <w:color w:val="605E5C"/>
      <w:shd w:val="clear" w:color="auto" w:fill="E1DFDD"/>
    </w:rPr>
  </w:style>
  <w:style w:type="character" w:customStyle="1" w:styleId="journaltitlesp">
    <w:name w:val="journaltitlesp"/>
    <w:basedOn w:val="DefaultParagraphFont"/>
    <w:rsid w:val="005868B4"/>
  </w:style>
  <w:style w:type="character" w:customStyle="1" w:styleId="issuevolsp">
    <w:name w:val="issuevolsp"/>
    <w:basedOn w:val="DefaultParagraphFont"/>
    <w:rsid w:val="005868B4"/>
  </w:style>
  <w:style w:type="character" w:customStyle="1" w:styleId="issuenumsp">
    <w:name w:val="issuenumsp"/>
    <w:basedOn w:val="DefaultParagraphFont"/>
    <w:rsid w:val="005868B4"/>
  </w:style>
  <w:style w:type="character" w:customStyle="1" w:styleId="pagerange">
    <w:name w:val="pagerange"/>
    <w:basedOn w:val="DefaultParagraphFont"/>
    <w:rsid w:val="0058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o.org/ophthalmic-technology-assessment/binocular-treatment-of-amblyopia-ota" TargetMode="External"/><Relationship Id="rId13" Type="http://schemas.openxmlformats.org/officeDocument/2006/relationships/hyperlink" Target="https://www.aao.org/ophthalmic-technology-assessment/use-of-orthokeratology-prevention-of-myopic-progre" TargetMode="External"/><Relationship Id="rId18" Type="http://schemas.openxmlformats.org/officeDocument/2006/relationships/hyperlink" Target="https://www.aao.org/ophthalmic-technology-assessment/balloon-dacryoplasty-congenital-nasolacrimal-duct--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aao.org/guidelines-browse?filter=Ophthalmic%20Technology%20Assessments&amp;sub=ONE.ContentTypes.OphthalmicTechnologyAssessment" TargetMode="External"/><Relationship Id="rId12" Type="http://schemas.openxmlformats.org/officeDocument/2006/relationships/hyperlink" Target="https://www.aao.org/ophthalmic-technology-assessment/effect-of-anti-vascular-endothelial-growth-factor-" TargetMode="External"/><Relationship Id="rId17" Type="http://schemas.openxmlformats.org/officeDocument/2006/relationships/hyperlink" Target="https://www.aao.org/ophthalmic-technology-assessment/laser-peripheral-iridotomy-in-primary-angle-closu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ao.org/ophthalmic-technology-assessment/spectral-domain-oct-helping-clinician-diagnose-gla" TargetMode="External"/><Relationship Id="rId20" Type="http://schemas.openxmlformats.org/officeDocument/2006/relationships/hyperlink" Target="https://www.aao.org/ophthalmic-technology-assessment/contact-lens-correction-of-aphakia-in-children-ot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ao.org/guidelines-browse?filter=Preferred%20Practice%20Patterns&amp;sub=AllPreferredPracticePatterns" TargetMode="External"/><Relationship Id="rId11" Type="http://schemas.openxmlformats.org/officeDocument/2006/relationships/hyperlink" Target="https://www.aao.org/ophthalmic-technology-assessment/swept-source-oct-evaluating-lamina-cribrosa-o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ao.org/ophthalmic-technology-assessment/safety-efficacy-of-anti-vascular-endothelial-growt" TargetMode="External"/><Relationship Id="rId10" Type="http://schemas.openxmlformats.org/officeDocument/2006/relationships/hyperlink" Target="https://www.aao.org/ophthalmic-technology-assessment/intraocular-lens-implantation-during-early-childho" TargetMode="External"/><Relationship Id="rId19" Type="http://schemas.openxmlformats.org/officeDocument/2006/relationships/hyperlink" Target="https://www.aao.org/ophthalmic-technology-assessment/chemodenervation-treatment-of-facial-dystonia-ota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ao.org/ophthalmic-technology-assessment/autologous-serum-based-eye-drops-treatment-of-ocul" TargetMode="External"/><Relationship Id="rId14" Type="http://schemas.openxmlformats.org/officeDocument/2006/relationships/hyperlink" Target="https://www.aao.org/ophthalmic-technology-assessment/use-of-%ce%b2-blockers-treatment-of-periocular-hemang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932B-6737-47A1-B3D7-23E87D24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Al-Rajhi, PhD, MPH</dc:creator>
  <cp:keywords/>
  <dc:description/>
  <cp:lastModifiedBy>Ali Al-Rajhi, PhD, MPH</cp:lastModifiedBy>
  <cp:revision>3</cp:revision>
  <dcterms:created xsi:type="dcterms:W3CDTF">2020-09-20T07:25:00Z</dcterms:created>
  <dcterms:modified xsi:type="dcterms:W3CDTF">2020-09-20T07:58:00Z</dcterms:modified>
</cp:coreProperties>
</file>