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D21AB" w14:textId="77777777" w:rsidR="006A62CE" w:rsidRDefault="00000000">
      <w:pPr>
        <w:pStyle w:val="Title"/>
        <w:jc w:val="center"/>
      </w:pPr>
      <w:r>
        <w:t>Causal Nonseparability and Environmental Objectivity</w:t>
      </w:r>
    </w:p>
    <w:p w14:paraId="24D16966" w14:textId="77777777" w:rsidR="006A62CE" w:rsidRDefault="00000000">
      <w:pPr>
        <w:jc w:val="center"/>
      </w:pPr>
      <w:r>
        <w:rPr>
          <w:i/>
        </w:rPr>
        <w:t>Independence, Control-Assisted Records, and Quantum-Switch Benchmarks</w:t>
      </w:r>
    </w:p>
    <w:p w14:paraId="10C54473" w14:textId="77777777" w:rsidR="006A62CE" w:rsidRDefault="00000000">
      <w:pPr>
        <w:jc w:val="center"/>
      </w:pPr>
      <w:r>
        <w:rPr>
          <w:b/>
        </w:rPr>
        <w:t>Scott Muniz</w:t>
      </w:r>
    </w:p>
    <w:p w14:paraId="7ADFB3CF" w14:textId="77777777" w:rsidR="006A62CE" w:rsidRDefault="00000000">
      <w:pPr>
        <w:jc w:val="center"/>
      </w:pPr>
      <w:r>
        <w:t>Dr. Ware Technology Services | scott@drware.com</w:t>
      </w:r>
    </w:p>
    <w:p w14:paraId="730209B4" w14:textId="77777777" w:rsidR="006A62CE" w:rsidRDefault="00000000">
      <w:pPr>
        <w:jc w:val="center"/>
      </w:pPr>
      <w:r>
        <w:rPr>
          <w:i/>
        </w:rPr>
        <w:t>Research Article | Version 5 | Final manuscript-level validation update | August 2026</w:t>
      </w:r>
    </w:p>
    <w:p w14:paraId="303B21D2" w14:textId="77777777" w:rsidR="006A62CE" w:rsidRDefault="00000000">
      <w:pPr>
        <w:pStyle w:val="Heading1"/>
      </w:pPr>
      <w:r>
        <w:t>Popular Summary</w:t>
      </w:r>
    </w:p>
    <w:p w14:paraId="678D50A0" w14:textId="77777777" w:rsidR="006A62CE" w:rsidRDefault="00000000">
      <w:r>
        <w:t>The environment can act like a witness: many separate pieces of it may carry the same information about a quantum system. Quantum Darwinism explains how such repeated records support an objective classical description. A different line of research asks what happens when a quantum system controls whether operation A occurs before B or B before A. We connect these subjects without assuming that either one causes the other. Objective records and indefinite causal order are independent properties. The order-control system can contain extra information, but only when it is measured together with an environmental fragment, and the extra information obeys a strict budget. Ignoring the control removes the coherence-dependent contribution. The results separate redundant environmental records, joint measurements of the environment and order control, and independent certification of causal structure, while providing a four-qubit protocol with testable predictions.</w:t>
      </w:r>
    </w:p>
    <w:p w14:paraId="335AF413" w14:textId="77777777" w:rsidR="006A62CE" w:rsidRDefault="00000000">
      <w:pPr>
        <w:pStyle w:val="Heading1"/>
      </w:pPr>
      <w:r>
        <w:t>Abstract</w:t>
      </w:r>
    </w:p>
    <w:p w14:paraId="43525099" w14:textId="77777777" w:rsidR="006A62CE" w:rsidRDefault="00000000">
      <w:r>
        <w:t>Environmental objectivity and indefinite causal order concern distinct operational structures: redundant pointer information in environmental fragments and the convex causal structure of a process. We prove their logical independence in a composite class containing fixed-order record circuits and the quantum switch. We then establish exact equal-prior Helstrom neutrality for a binary record model with arbitrary mismatch and unequal interaction strengths: coherent order adds two null directions to the conditional-difference spectrum without changing its nonzero singular values. This exact no-advantage result coexists with a resource-matched joint-access Holevo advantage of 0.083977 bit. For a classical pointer label Λ, order control T, and fragment F, we derive a nonnegative access decomposition separating fragment information, classical branch-label information, and coherence-sensitive information. In irreducibly coupled controlled-order dynamics, exact unconditional pointer preservation is equivalent to preservation in each orthogonal branch. An exact postselection identity and probability-weighted bounds are controlled by I(Λ:T|F). Many-fragment calculations, local spectrum-broadcast diagnostics, collision-noise surfaces, exact gate-level statevector simulation, reduced-normal-form checks, and finite-shot ideal sampling delimit the capability. Finally, deterministic local record augmentation of a causally nonseparable process preserves causal nonseparability, and every witness for the base process pulls back through the discard map to a witness for the extension. The resource is therefore bounded, task dependent, and access dependent rather than a universal enhancement of objectivity.</w:t>
      </w:r>
    </w:p>
    <w:p w14:paraId="47EAD34D" w14:textId="77777777" w:rsidR="006A62CE" w:rsidRDefault="00000000">
      <w:pPr>
        <w:pStyle w:val="Heading1"/>
      </w:pPr>
      <w:r>
        <w:t>I. Introduction</w:t>
      </w:r>
    </w:p>
    <w:p w14:paraId="16B90306" w14:textId="77777777" w:rsidR="006A62CE" w:rsidRDefault="00000000">
      <w:r>
        <w:t>Quantum Darwinism describes operational objectivity through redundant environmental records of a system pointer [1-8]. Process-matrix and higher-order-operation frameworks instead classify transformations and processes that cannot be reduced to a definite or probabilistic causal order [9-13,19]. These frameworks answer different questions. Objectivity asks which information is available in multiple disjoint fragments. Causal nonseparability asks whether the higher-order process connecting local laboratories lies outside the causally separable cone.</w:t>
      </w:r>
    </w:p>
    <w:p w14:paraId="52B5ACAF" w14:textId="77777777" w:rsidR="006A62CE" w:rsidRDefault="00000000">
      <w:r>
        <w:t>This work establishes a disciplined relation between the two frameworks. Neither structure implies the other. When the same interactions generate records and participate in coherently controlled orders, branchwise pointer compatibility controls deterministic preservation, whereas access to the control supplies a bounded information resource. The resource is task dependent: it can increase joint Holevo information, leave equal-prior minimum-error discrimination exactly unchanged, and fail to improve environmental redundancy.</w:t>
      </w:r>
    </w:p>
    <w:p w14:paraId="1EAE958F" w14:textId="77777777" w:rsidR="006A62CE" w:rsidRDefault="00000000">
      <w:r>
        <w:lastRenderedPageBreak/>
        <w:t>Why this matters now. Quantum-switch experiments and certification methods have advanced rapidly [15,21-23], while recent theoretical and experimental work has sharpened the conditions for Quantum Darwinism, strong objectivity, and spectrum-broadcast structure [17,18,20,24]. A unified operational treatment is needed to prevent information gain, redundant record formation, and causal certification from being treated as interchangeable. The present framework supplies that separation and a small-register route for testing it.</w:t>
      </w:r>
    </w:p>
    <w:p w14:paraId="2AAC5C94" w14:textId="77777777" w:rsidR="006A62CE" w:rsidRDefault="00000000">
      <w:r>
        <w:t>The principal PRX Quantum case is an exceptional connection between environmental objectivity and indefinite causal order. The connection is not a claim that indefinite order universally improves objectivity. Rather, it identifies exactly which conclusions survive when access is restricted, when outcomes are postselected, and when causal structure is certified independently.</w:t>
      </w:r>
    </w:p>
    <w:p w14:paraId="31685423" w14:textId="77777777" w:rsidR="006A62CE" w:rsidRDefault="00000000">
      <w:r>
        <w:t>The main contributions are: (i) a logical-independence theorem; (ii) an exact equal-prior Helstrom-neutrality theorem; (iii) an exact quantum-control access decomposition; (iv) branchwise preservation theorems; (v) a universal postselection information budget; (vi) many-fragment, noise, and local spectrum-broadcast diagnostics; (vii) a four-qubit validation protocol; and (viii) an inherited causal-witness theorem for deterministic local record extensions.</w:t>
      </w:r>
    </w:p>
    <w:p w14:paraId="0A70894D" w14:textId="77777777" w:rsidR="006A62CE" w:rsidRDefault="00000000">
      <w:r>
        <w:t>Scope is deliberately bounded. We do not claim an advantage over the full causally separable process cone, a universal enhancement of objectivity, a global distance-to-spectrum-broadcast theorem, or physical-device validation.</w:t>
      </w:r>
    </w:p>
    <w:p w14:paraId="1A50067F" w14:textId="77777777" w:rsidR="006A62CE" w:rsidRDefault="00000000">
      <w:pPr>
        <w:jc w:val="center"/>
      </w:pPr>
      <w:r>
        <w:rPr>
          <w:b/>
          <w:sz w:val="18"/>
        </w:rPr>
        <w:t>Table I. Theorem roadmap and logical architecture.</w:t>
      </w:r>
    </w:p>
    <w:tbl>
      <w:tblPr>
        <w:tblStyle w:val="TableGrid"/>
        <w:tblW w:w="0" w:type="auto"/>
        <w:jc w:val="center"/>
        <w:tblLook w:val="04A0" w:firstRow="1" w:lastRow="0" w:firstColumn="1" w:lastColumn="0" w:noHBand="0" w:noVBand="1"/>
      </w:tblPr>
      <w:tblGrid>
        <w:gridCol w:w="2469"/>
        <w:gridCol w:w="2469"/>
        <w:gridCol w:w="2469"/>
        <w:gridCol w:w="2469"/>
      </w:tblGrid>
      <w:tr w:rsidR="006A62CE" w14:paraId="1DF6CA7F" w14:textId="77777777">
        <w:trPr>
          <w:jc w:val="center"/>
        </w:trPr>
        <w:tc>
          <w:tcPr>
            <w:tcW w:w="2469" w:type="dxa"/>
            <w:shd w:val="clear" w:color="auto" w:fill="D9EAF7"/>
            <w:tcMar>
              <w:top w:w="80" w:type="dxa"/>
              <w:left w:w="90" w:type="dxa"/>
              <w:bottom w:w="80" w:type="dxa"/>
              <w:right w:w="90" w:type="dxa"/>
            </w:tcMar>
            <w:vAlign w:val="center"/>
          </w:tcPr>
          <w:p w14:paraId="0B160078" w14:textId="77777777" w:rsidR="006A62CE" w:rsidRDefault="00000000">
            <w:r>
              <w:rPr>
                <w:rFonts w:ascii="Arial" w:hAnsi="Arial"/>
                <w:b/>
                <w:sz w:val="17"/>
              </w:rPr>
              <w:t>Layer</w:t>
            </w:r>
          </w:p>
        </w:tc>
        <w:tc>
          <w:tcPr>
            <w:tcW w:w="2469" w:type="dxa"/>
            <w:shd w:val="clear" w:color="auto" w:fill="D9EAF7"/>
            <w:tcMar>
              <w:top w:w="80" w:type="dxa"/>
              <w:left w:w="90" w:type="dxa"/>
              <w:bottom w:w="80" w:type="dxa"/>
              <w:right w:w="90" w:type="dxa"/>
            </w:tcMar>
            <w:vAlign w:val="center"/>
          </w:tcPr>
          <w:p w14:paraId="661CB643" w14:textId="77777777" w:rsidR="006A62CE" w:rsidRDefault="00000000">
            <w:r>
              <w:rPr>
                <w:rFonts w:ascii="Arial" w:hAnsi="Arial"/>
                <w:b/>
                <w:sz w:val="17"/>
              </w:rPr>
              <w:t>Question</w:t>
            </w:r>
          </w:p>
        </w:tc>
        <w:tc>
          <w:tcPr>
            <w:tcW w:w="2469" w:type="dxa"/>
            <w:shd w:val="clear" w:color="auto" w:fill="D9EAF7"/>
            <w:tcMar>
              <w:top w:w="80" w:type="dxa"/>
              <w:left w:w="90" w:type="dxa"/>
              <w:bottom w:w="80" w:type="dxa"/>
              <w:right w:w="90" w:type="dxa"/>
            </w:tcMar>
            <w:vAlign w:val="center"/>
          </w:tcPr>
          <w:p w14:paraId="76890ACB" w14:textId="77777777" w:rsidR="006A62CE" w:rsidRDefault="00000000">
            <w:r>
              <w:rPr>
                <w:rFonts w:ascii="Arial" w:hAnsi="Arial"/>
                <w:b/>
                <w:sz w:val="17"/>
              </w:rPr>
              <w:t>Core result</w:t>
            </w:r>
          </w:p>
        </w:tc>
        <w:tc>
          <w:tcPr>
            <w:tcW w:w="2469" w:type="dxa"/>
            <w:shd w:val="clear" w:color="auto" w:fill="D9EAF7"/>
            <w:tcMar>
              <w:top w:w="80" w:type="dxa"/>
              <w:left w:w="90" w:type="dxa"/>
              <w:bottom w:w="80" w:type="dxa"/>
              <w:right w:w="90" w:type="dxa"/>
            </w:tcMar>
            <w:vAlign w:val="center"/>
          </w:tcPr>
          <w:p w14:paraId="02700184" w14:textId="77777777" w:rsidR="006A62CE" w:rsidRDefault="00000000">
            <w:r>
              <w:rPr>
                <w:rFonts w:ascii="Arial" w:hAnsi="Arial"/>
                <w:b/>
                <w:sz w:val="17"/>
              </w:rPr>
              <w:t>Location</w:t>
            </w:r>
          </w:p>
        </w:tc>
      </w:tr>
      <w:tr w:rsidR="006A62CE" w14:paraId="44CEAC7E" w14:textId="77777777">
        <w:trPr>
          <w:jc w:val="center"/>
        </w:trPr>
        <w:tc>
          <w:tcPr>
            <w:tcW w:w="2469" w:type="dxa"/>
            <w:tcMar>
              <w:top w:w="80" w:type="dxa"/>
              <w:left w:w="90" w:type="dxa"/>
              <w:bottom w:w="80" w:type="dxa"/>
              <w:right w:w="90" w:type="dxa"/>
            </w:tcMar>
            <w:vAlign w:val="center"/>
          </w:tcPr>
          <w:p w14:paraId="1FC31DB1" w14:textId="77777777" w:rsidR="006A62CE" w:rsidRDefault="00000000">
            <w:pPr>
              <w:spacing w:after="0"/>
            </w:pPr>
            <w:r>
              <w:rPr>
                <w:sz w:val="16"/>
              </w:rPr>
              <w:t>Independence</w:t>
            </w:r>
          </w:p>
        </w:tc>
        <w:tc>
          <w:tcPr>
            <w:tcW w:w="2469" w:type="dxa"/>
            <w:tcMar>
              <w:top w:w="80" w:type="dxa"/>
              <w:left w:w="90" w:type="dxa"/>
              <w:bottom w:w="80" w:type="dxa"/>
              <w:right w:w="90" w:type="dxa"/>
            </w:tcMar>
            <w:vAlign w:val="center"/>
          </w:tcPr>
          <w:p w14:paraId="1B56D895" w14:textId="77777777" w:rsidR="006A62CE" w:rsidRDefault="00000000">
            <w:pPr>
              <w:spacing w:after="0"/>
            </w:pPr>
            <w:r>
              <w:rPr>
                <w:sz w:val="16"/>
              </w:rPr>
              <w:t>Do objectivity and causal nonseparability imply one another?</w:t>
            </w:r>
          </w:p>
        </w:tc>
        <w:tc>
          <w:tcPr>
            <w:tcW w:w="2469" w:type="dxa"/>
            <w:tcMar>
              <w:top w:w="80" w:type="dxa"/>
              <w:left w:w="90" w:type="dxa"/>
              <w:bottom w:w="80" w:type="dxa"/>
              <w:right w:w="90" w:type="dxa"/>
            </w:tcMar>
            <w:vAlign w:val="center"/>
          </w:tcPr>
          <w:p w14:paraId="6DBF9854" w14:textId="77777777" w:rsidR="006A62CE" w:rsidRDefault="00000000">
            <w:pPr>
              <w:spacing w:after="0"/>
            </w:pPr>
            <w:r>
              <w:rPr>
                <w:sz w:val="16"/>
              </w:rPr>
              <w:t>No; all four logical sectors are constructively populated.</w:t>
            </w:r>
          </w:p>
        </w:tc>
        <w:tc>
          <w:tcPr>
            <w:tcW w:w="2469" w:type="dxa"/>
            <w:tcMar>
              <w:top w:w="80" w:type="dxa"/>
              <w:left w:w="90" w:type="dxa"/>
              <w:bottom w:w="80" w:type="dxa"/>
              <w:right w:w="90" w:type="dxa"/>
            </w:tcMar>
            <w:vAlign w:val="center"/>
          </w:tcPr>
          <w:p w14:paraId="6A43C44D" w14:textId="77777777" w:rsidR="006A62CE" w:rsidRDefault="00000000">
            <w:pPr>
              <w:spacing w:after="0"/>
            </w:pPr>
            <w:r>
              <w:rPr>
                <w:sz w:val="16"/>
              </w:rPr>
              <w:t>Theorem 1</w:t>
            </w:r>
          </w:p>
        </w:tc>
      </w:tr>
      <w:tr w:rsidR="006A62CE" w14:paraId="55BB62BE" w14:textId="77777777">
        <w:trPr>
          <w:jc w:val="center"/>
        </w:trPr>
        <w:tc>
          <w:tcPr>
            <w:tcW w:w="2469" w:type="dxa"/>
            <w:tcMar>
              <w:top w:w="80" w:type="dxa"/>
              <w:left w:w="90" w:type="dxa"/>
              <w:bottom w:w="80" w:type="dxa"/>
              <w:right w:w="90" w:type="dxa"/>
            </w:tcMar>
            <w:vAlign w:val="center"/>
          </w:tcPr>
          <w:p w14:paraId="47BC348A" w14:textId="77777777" w:rsidR="006A62CE" w:rsidRDefault="00000000">
            <w:pPr>
              <w:spacing w:after="0"/>
            </w:pPr>
            <w:r>
              <w:rPr>
                <w:sz w:val="16"/>
              </w:rPr>
              <w:t>Decision task</w:t>
            </w:r>
          </w:p>
        </w:tc>
        <w:tc>
          <w:tcPr>
            <w:tcW w:w="2469" w:type="dxa"/>
            <w:tcMar>
              <w:top w:w="80" w:type="dxa"/>
              <w:left w:w="90" w:type="dxa"/>
              <w:bottom w:w="80" w:type="dxa"/>
              <w:right w:w="90" w:type="dxa"/>
            </w:tcMar>
            <w:vAlign w:val="center"/>
          </w:tcPr>
          <w:p w14:paraId="1A387903" w14:textId="77777777" w:rsidR="006A62CE" w:rsidRDefault="00000000">
            <w:pPr>
              <w:spacing w:after="0"/>
            </w:pPr>
            <w:r>
              <w:rPr>
                <w:sz w:val="16"/>
              </w:rPr>
              <w:t>Does coherent order improve equal-prior binary discrimination?</w:t>
            </w:r>
          </w:p>
        </w:tc>
        <w:tc>
          <w:tcPr>
            <w:tcW w:w="2469" w:type="dxa"/>
            <w:tcMar>
              <w:top w:w="80" w:type="dxa"/>
              <w:left w:w="90" w:type="dxa"/>
              <w:bottom w:w="80" w:type="dxa"/>
              <w:right w:w="90" w:type="dxa"/>
            </w:tcMar>
            <w:vAlign w:val="center"/>
          </w:tcPr>
          <w:p w14:paraId="03872AA1" w14:textId="77777777" w:rsidR="006A62CE" w:rsidRDefault="00000000">
            <w:pPr>
              <w:spacing w:after="0"/>
            </w:pPr>
            <w:r>
              <w:rPr>
                <w:sz w:val="16"/>
              </w:rPr>
              <w:t>No in the declared binary model; the trace norm is exactly unchanged.</w:t>
            </w:r>
          </w:p>
        </w:tc>
        <w:tc>
          <w:tcPr>
            <w:tcW w:w="2469" w:type="dxa"/>
            <w:tcMar>
              <w:top w:w="80" w:type="dxa"/>
              <w:left w:w="90" w:type="dxa"/>
              <w:bottom w:w="80" w:type="dxa"/>
              <w:right w:w="90" w:type="dxa"/>
            </w:tcMar>
            <w:vAlign w:val="center"/>
          </w:tcPr>
          <w:p w14:paraId="737B215A" w14:textId="77777777" w:rsidR="006A62CE" w:rsidRDefault="00000000">
            <w:pPr>
              <w:spacing w:after="0"/>
            </w:pPr>
            <w:r>
              <w:rPr>
                <w:sz w:val="16"/>
              </w:rPr>
              <w:t>Sec. VI</w:t>
            </w:r>
          </w:p>
        </w:tc>
      </w:tr>
      <w:tr w:rsidR="006A62CE" w14:paraId="5397A395" w14:textId="77777777">
        <w:trPr>
          <w:jc w:val="center"/>
        </w:trPr>
        <w:tc>
          <w:tcPr>
            <w:tcW w:w="2469" w:type="dxa"/>
            <w:tcMar>
              <w:top w:w="80" w:type="dxa"/>
              <w:left w:w="90" w:type="dxa"/>
              <w:bottom w:w="80" w:type="dxa"/>
              <w:right w:w="90" w:type="dxa"/>
            </w:tcMar>
            <w:vAlign w:val="center"/>
          </w:tcPr>
          <w:p w14:paraId="10C80657" w14:textId="77777777" w:rsidR="006A62CE" w:rsidRDefault="00000000">
            <w:pPr>
              <w:spacing w:after="0"/>
            </w:pPr>
            <w:r>
              <w:rPr>
                <w:sz w:val="16"/>
              </w:rPr>
              <w:t>Access and preservation</w:t>
            </w:r>
          </w:p>
        </w:tc>
        <w:tc>
          <w:tcPr>
            <w:tcW w:w="2469" w:type="dxa"/>
            <w:tcMar>
              <w:top w:w="80" w:type="dxa"/>
              <w:left w:w="90" w:type="dxa"/>
              <w:bottom w:w="80" w:type="dxa"/>
              <w:right w:w="90" w:type="dxa"/>
            </w:tcMar>
            <w:vAlign w:val="center"/>
          </w:tcPr>
          <w:p w14:paraId="64A7FFFC" w14:textId="77777777" w:rsidR="006A62CE" w:rsidRDefault="00000000">
            <w:pPr>
              <w:spacing w:after="0"/>
            </w:pPr>
            <w:r>
              <w:rPr>
                <w:sz w:val="16"/>
              </w:rPr>
              <w:t>Where can extra information reside, and when is the pointer preserved?</w:t>
            </w:r>
          </w:p>
        </w:tc>
        <w:tc>
          <w:tcPr>
            <w:tcW w:w="2469" w:type="dxa"/>
            <w:tcMar>
              <w:top w:w="80" w:type="dxa"/>
              <w:left w:w="90" w:type="dxa"/>
              <w:bottom w:w="80" w:type="dxa"/>
              <w:right w:w="90" w:type="dxa"/>
            </w:tcMar>
            <w:vAlign w:val="center"/>
          </w:tcPr>
          <w:p w14:paraId="1C145239" w14:textId="77777777" w:rsidR="006A62CE" w:rsidRDefault="00000000">
            <w:pPr>
              <w:spacing w:after="0"/>
            </w:pPr>
            <w:r>
              <w:rPr>
                <w:sz w:val="16"/>
              </w:rPr>
              <w:t>Nonnegative access decomposition and branchwise preservation criteria.</w:t>
            </w:r>
          </w:p>
        </w:tc>
        <w:tc>
          <w:tcPr>
            <w:tcW w:w="2469" w:type="dxa"/>
            <w:tcMar>
              <w:top w:w="80" w:type="dxa"/>
              <w:left w:w="90" w:type="dxa"/>
              <w:bottom w:w="80" w:type="dxa"/>
              <w:right w:w="90" w:type="dxa"/>
            </w:tcMar>
            <w:vAlign w:val="center"/>
          </w:tcPr>
          <w:p w14:paraId="52A308DB" w14:textId="77777777" w:rsidR="006A62CE" w:rsidRDefault="00000000">
            <w:pPr>
              <w:spacing w:after="0"/>
            </w:pPr>
            <w:r>
              <w:rPr>
                <w:sz w:val="16"/>
              </w:rPr>
              <w:t>Theorems 2-4</w:t>
            </w:r>
          </w:p>
        </w:tc>
      </w:tr>
      <w:tr w:rsidR="006A62CE" w14:paraId="2AD1301E" w14:textId="77777777">
        <w:trPr>
          <w:jc w:val="center"/>
        </w:trPr>
        <w:tc>
          <w:tcPr>
            <w:tcW w:w="2469" w:type="dxa"/>
            <w:tcMar>
              <w:top w:w="80" w:type="dxa"/>
              <w:left w:w="90" w:type="dxa"/>
              <w:bottom w:w="80" w:type="dxa"/>
              <w:right w:w="90" w:type="dxa"/>
            </w:tcMar>
            <w:vAlign w:val="center"/>
          </w:tcPr>
          <w:p w14:paraId="7B6B65CA" w14:textId="77777777" w:rsidR="006A62CE" w:rsidRDefault="00000000">
            <w:pPr>
              <w:spacing w:after="0"/>
            </w:pPr>
            <w:r>
              <w:rPr>
                <w:sz w:val="16"/>
              </w:rPr>
              <w:t>Operational limits</w:t>
            </w:r>
          </w:p>
        </w:tc>
        <w:tc>
          <w:tcPr>
            <w:tcW w:w="2469" w:type="dxa"/>
            <w:tcMar>
              <w:top w:w="80" w:type="dxa"/>
              <w:left w:w="90" w:type="dxa"/>
              <w:bottom w:w="80" w:type="dxa"/>
              <w:right w:w="90" w:type="dxa"/>
            </w:tcMar>
            <w:vAlign w:val="center"/>
          </w:tcPr>
          <w:p w14:paraId="622CEE57" w14:textId="77777777" w:rsidR="006A62CE" w:rsidRDefault="00000000">
            <w:pPr>
              <w:spacing w:after="0"/>
            </w:pPr>
            <w:r>
              <w:rPr>
                <w:sz w:val="16"/>
              </w:rPr>
              <w:t>Can measurement or postselection create unrestricted record gain?</w:t>
            </w:r>
          </w:p>
        </w:tc>
        <w:tc>
          <w:tcPr>
            <w:tcW w:w="2469" w:type="dxa"/>
            <w:tcMar>
              <w:top w:w="80" w:type="dxa"/>
              <w:left w:w="90" w:type="dxa"/>
              <w:bottom w:w="80" w:type="dxa"/>
              <w:right w:w="90" w:type="dxa"/>
            </w:tcMar>
            <w:vAlign w:val="center"/>
          </w:tcPr>
          <w:p w14:paraId="70C07876" w14:textId="77777777" w:rsidR="006A62CE" w:rsidRDefault="00000000">
            <w:pPr>
              <w:spacing w:after="0"/>
            </w:pPr>
            <w:r>
              <w:rPr>
                <w:sz w:val="16"/>
              </w:rPr>
              <w:t>No; average and selected gains obey probability-weighted budgets.</w:t>
            </w:r>
          </w:p>
        </w:tc>
        <w:tc>
          <w:tcPr>
            <w:tcW w:w="2469" w:type="dxa"/>
            <w:tcMar>
              <w:top w:w="80" w:type="dxa"/>
              <w:left w:w="90" w:type="dxa"/>
              <w:bottom w:w="80" w:type="dxa"/>
              <w:right w:w="90" w:type="dxa"/>
            </w:tcMar>
            <w:vAlign w:val="center"/>
          </w:tcPr>
          <w:p w14:paraId="22DA468C" w14:textId="77777777" w:rsidR="006A62CE" w:rsidRDefault="00000000">
            <w:pPr>
              <w:spacing w:after="0"/>
            </w:pPr>
            <w:r>
              <w:rPr>
                <w:sz w:val="16"/>
              </w:rPr>
              <w:t>Theorems 5-6</w:t>
            </w:r>
          </w:p>
        </w:tc>
      </w:tr>
      <w:tr w:rsidR="006A62CE" w14:paraId="53AB57EC" w14:textId="77777777">
        <w:trPr>
          <w:jc w:val="center"/>
        </w:trPr>
        <w:tc>
          <w:tcPr>
            <w:tcW w:w="2469" w:type="dxa"/>
            <w:tcMar>
              <w:top w:w="80" w:type="dxa"/>
              <w:left w:w="90" w:type="dxa"/>
              <w:bottom w:w="80" w:type="dxa"/>
              <w:right w:w="90" w:type="dxa"/>
            </w:tcMar>
            <w:vAlign w:val="center"/>
          </w:tcPr>
          <w:p w14:paraId="362FBEC6" w14:textId="77777777" w:rsidR="006A62CE" w:rsidRDefault="00000000">
            <w:pPr>
              <w:spacing w:after="0"/>
            </w:pPr>
            <w:r>
              <w:rPr>
                <w:sz w:val="16"/>
              </w:rPr>
              <w:t>Certification and test</w:t>
            </w:r>
          </w:p>
        </w:tc>
        <w:tc>
          <w:tcPr>
            <w:tcW w:w="2469" w:type="dxa"/>
            <w:tcMar>
              <w:top w:w="80" w:type="dxa"/>
              <w:left w:w="90" w:type="dxa"/>
              <w:bottom w:w="80" w:type="dxa"/>
              <w:right w:w="90" w:type="dxa"/>
            </w:tcMar>
            <w:vAlign w:val="center"/>
          </w:tcPr>
          <w:p w14:paraId="60B67D88" w14:textId="77777777" w:rsidR="006A62CE" w:rsidRDefault="00000000">
            <w:pPr>
              <w:spacing w:after="0"/>
            </w:pPr>
            <w:r>
              <w:rPr>
                <w:sz w:val="16"/>
              </w:rPr>
              <w:t>Does record augmentation retain causal certification?</w:t>
            </w:r>
          </w:p>
        </w:tc>
        <w:tc>
          <w:tcPr>
            <w:tcW w:w="2469" w:type="dxa"/>
            <w:tcMar>
              <w:top w:w="80" w:type="dxa"/>
              <w:left w:w="90" w:type="dxa"/>
              <w:bottom w:w="80" w:type="dxa"/>
              <w:right w:w="90" w:type="dxa"/>
            </w:tcMar>
            <w:vAlign w:val="center"/>
          </w:tcPr>
          <w:p w14:paraId="53FAAECF" w14:textId="77777777" w:rsidR="006A62CE" w:rsidRDefault="00000000">
            <w:pPr>
              <w:spacing w:after="0"/>
            </w:pPr>
            <w:r>
              <w:rPr>
                <w:sz w:val="16"/>
              </w:rPr>
              <w:t>Yes under deterministic local recovery; the witness pulls back.</w:t>
            </w:r>
          </w:p>
        </w:tc>
        <w:tc>
          <w:tcPr>
            <w:tcW w:w="2469" w:type="dxa"/>
            <w:tcMar>
              <w:top w:w="80" w:type="dxa"/>
              <w:left w:w="90" w:type="dxa"/>
              <w:bottom w:w="80" w:type="dxa"/>
              <w:right w:w="90" w:type="dxa"/>
            </w:tcMar>
            <w:vAlign w:val="center"/>
          </w:tcPr>
          <w:p w14:paraId="53112453" w14:textId="77777777" w:rsidR="006A62CE" w:rsidRDefault="00000000">
            <w:pPr>
              <w:spacing w:after="0"/>
            </w:pPr>
            <w:r>
              <w:rPr>
                <w:sz w:val="16"/>
              </w:rPr>
              <w:t>Theorem 7 and Sec. IX</w:t>
            </w:r>
          </w:p>
        </w:tc>
      </w:tr>
    </w:tbl>
    <w:p w14:paraId="6F58D56B" w14:textId="77777777" w:rsidR="006A62CE" w:rsidRDefault="006A62CE">
      <w:pPr>
        <w:spacing w:after="20"/>
      </w:pPr>
    </w:p>
    <w:p w14:paraId="3E005E29" w14:textId="77777777" w:rsidR="006A62CE" w:rsidRDefault="00000000">
      <w:pPr>
        <w:pStyle w:val="Heading1"/>
      </w:pPr>
      <w:r>
        <w:t>II. Operational setting and notation</w:t>
      </w:r>
    </w:p>
    <w:p w14:paraId="2F292123" w14:textId="77777777" w:rsidR="006A62CE" w:rsidRDefault="00000000">
      <w:pPr>
        <w:pStyle w:val="Heading2"/>
      </w:pPr>
      <w:r>
        <w:t>A. Global assumptions</w:t>
      </w:r>
    </w:p>
    <w:p w14:paraId="57E9182D" w14:textId="77777777" w:rsidR="006A62CE" w:rsidRDefault="00000000">
      <w:r>
        <w:t>All Hilbert spaces are finite dimensional. Logarithms are base two, so information quantities are measured in bits. The trace norm is ||X||₁=Tr√(X†X). Unless otherwise stated, the binary decision problem uses equal priors. Classical registers are represented by orthogonal basis states, and conditional mutual information is I(A:B|C)=S(AC)+S(BC)-S(C)-S(ABC).</w:t>
      </w:r>
    </w:p>
    <w:p w14:paraId="245155BC" w14:textId="77777777" w:rsidR="006A62CE" w:rsidRDefault="00000000">
      <w:pPr>
        <w:jc w:val="center"/>
      </w:pPr>
      <w:r>
        <w:rPr>
          <w:b/>
          <w:sz w:val="18"/>
        </w:rPr>
        <w:t>Table II. Principal notation and conventions.</w:t>
      </w:r>
    </w:p>
    <w:tbl>
      <w:tblPr>
        <w:tblStyle w:val="TableGrid"/>
        <w:tblW w:w="0" w:type="auto"/>
        <w:jc w:val="center"/>
        <w:tblLook w:val="04A0" w:firstRow="1" w:lastRow="0" w:firstColumn="1" w:lastColumn="0" w:noHBand="0" w:noVBand="1"/>
      </w:tblPr>
      <w:tblGrid>
        <w:gridCol w:w="4939"/>
        <w:gridCol w:w="4939"/>
      </w:tblGrid>
      <w:tr w:rsidR="006A62CE" w14:paraId="5E087B8A" w14:textId="77777777">
        <w:trPr>
          <w:jc w:val="center"/>
        </w:trPr>
        <w:tc>
          <w:tcPr>
            <w:tcW w:w="4939" w:type="dxa"/>
            <w:shd w:val="clear" w:color="auto" w:fill="D9EAF7"/>
            <w:tcMar>
              <w:top w:w="80" w:type="dxa"/>
              <w:left w:w="90" w:type="dxa"/>
              <w:bottom w:w="80" w:type="dxa"/>
              <w:right w:w="90" w:type="dxa"/>
            </w:tcMar>
            <w:vAlign w:val="center"/>
          </w:tcPr>
          <w:p w14:paraId="5F52C98A" w14:textId="77777777" w:rsidR="006A62CE" w:rsidRDefault="00000000">
            <w:r>
              <w:rPr>
                <w:rFonts w:ascii="Arial" w:hAnsi="Arial"/>
                <w:b/>
                <w:sz w:val="17"/>
              </w:rPr>
              <w:t>Symbol</w:t>
            </w:r>
          </w:p>
        </w:tc>
        <w:tc>
          <w:tcPr>
            <w:tcW w:w="4939" w:type="dxa"/>
            <w:shd w:val="clear" w:color="auto" w:fill="D9EAF7"/>
            <w:tcMar>
              <w:top w:w="80" w:type="dxa"/>
              <w:left w:w="90" w:type="dxa"/>
              <w:bottom w:w="80" w:type="dxa"/>
              <w:right w:w="90" w:type="dxa"/>
            </w:tcMar>
            <w:vAlign w:val="center"/>
          </w:tcPr>
          <w:p w14:paraId="060A8E79" w14:textId="77777777" w:rsidR="006A62CE" w:rsidRDefault="00000000">
            <w:r>
              <w:rPr>
                <w:rFonts w:ascii="Arial" w:hAnsi="Arial"/>
                <w:b/>
                <w:sz w:val="17"/>
              </w:rPr>
              <w:t>Meaning</w:t>
            </w:r>
          </w:p>
        </w:tc>
      </w:tr>
      <w:tr w:rsidR="006A62CE" w14:paraId="45DA685D" w14:textId="77777777">
        <w:trPr>
          <w:jc w:val="center"/>
        </w:trPr>
        <w:tc>
          <w:tcPr>
            <w:tcW w:w="4939" w:type="dxa"/>
            <w:tcMar>
              <w:top w:w="80" w:type="dxa"/>
              <w:left w:w="90" w:type="dxa"/>
              <w:bottom w:w="80" w:type="dxa"/>
              <w:right w:w="90" w:type="dxa"/>
            </w:tcMar>
            <w:vAlign w:val="center"/>
          </w:tcPr>
          <w:p w14:paraId="06785732" w14:textId="77777777" w:rsidR="006A62CE" w:rsidRDefault="00000000">
            <w:pPr>
              <w:spacing w:after="0"/>
            </w:pPr>
            <w:r>
              <w:rPr>
                <w:sz w:val="16"/>
              </w:rPr>
              <w:t>Λ</w:t>
            </w:r>
          </w:p>
        </w:tc>
        <w:tc>
          <w:tcPr>
            <w:tcW w:w="4939" w:type="dxa"/>
            <w:tcMar>
              <w:top w:w="80" w:type="dxa"/>
              <w:left w:w="90" w:type="dxa"/>
              <w:bottom w:w="80" w:type="dxa"/>
              <w:right w:w="90" w:type="dxa"/>
            </w:tcMar>
            <w:vAlign w:val="center"/>
          </w:tcPr>
          <w:p w14:paraId="51B5C885" w14:textId="77777777" w:rsidR="006A62CE" w:rsidRDefault="00000000">
            <w:pPr>
              <w:spacing w:after="0"/>
            </w:pPr>
            <w:r>
              <w:rPr>
                <w:sz w:val="16"/>
              </w:rPr>
              <w:t>Classical pointer label with prior qλ</w:t>
            </w:r>
          </w:p>
        </w:tc>
      </w:tr>
      <w:tr w:rsidR="006A62CE" w14:paraId="5508174B" w14:textId="77777777">
        <w:trPr>
          <w:jc w:val="center"/>
        </w:trPr>
        <w:tc>
          <w:tcPr>
            <w:tcW w:w="4939" w:type="dxa"/>
            <w:tcMar>
              <w:top w:w="80" w:type="dxa"/>
              <w:left w:w="90" w:type="dxa"/>
              <w:bottom w:w="80" w:type="dxa"/>
              <w:right w:w="90" w:type="dxa"/>
            </w:tcMar>
            <w:vAlign w:val="center"/>
          </w:tcPr>
          <w:p w14:paraId="66E28DA7" w14:textId="77777777" w:rsidR="006A62CE" w:rsidRDefault="00000000">
            <w:pPr>
              <w:spacing w:after="0"/>
            </w:pPr>
            <w:r>
              <w:rPr>
                <w:sz w:val="16"/>
              </w:rPr>
              <w:t>T</w:t>
            </w:r>
          </w:p>
        </w:tc>
        <w:tc>
          <w:tcPr>
            <w:tcW w:w="4939" w:type="dxa"/>
            <w:tcMar>
              <w:top w:w="80" w:type="dxa"/>
              <w:left w:w="90" w:type="dxa"/>
              <w:bottom w:w="80" w:type="dxa"/>
              <w:right w:w="90" w:type="dxa"/>
            </w:tcMar>
            <w:vAlign w:val="center"/>
          </w:tcPr>
          <w:p w14:paraId="1C611FA7" w14:textId="77777777" w:rsidR="006A62CE" w:rsidRDefault="00000000">
            <w:pPr>
              <w:spacing w:after="0"/>
            </w:pPr>
            <w:r>
              <w:rPr>
                <w:sz w:val="16"/>
              </w:rPr>
              <w:t>Quantum order-control system</w:t>
            </w:r>
          </w:p>
        </w:tc>
      </w:tr>
      <w:tr w:rsidR="006A62CE" w14:paraId="1DA26C17" w14:textId="77777777">
        <w:trPr>
          <w:jc w:val="center"/>
        </w:trPr>
        <w:tc>
          <w:tcPr>
            <w:tcW w:w="4939" w:type="dxa"/>
            <w:tcMar>
              <w:top w:w="80" w:type="dxa"/>
              <w:left w:w="90" w:type="dxa"/>
              <w:bottom w:w="80" w:type="dxa"/>
              <w:right w:w="90" w:type="dxa"/>
            </w:tcMar>
            <w:vAlign w:val="center"/>
          </w:tcPr>
          <w:p w14:paraId="327278FB" w14:textId="77777777" w:rsidR="006A62CE" w:rsidRDefault="00000000">
            <w:pPr>
              <w:spacing w:after="0"/>
            </w:pPr>
            <w:r>
              <w:rPr>
                <w:sz w:val="16"/>
              </w:rPr>
              <w:t>F</w:t>
            </w:r>
          </w:p>
        </w:tc>
        <w:tc>
          <w:tcPr>
            <w:tcW w:w="4939" w:type="dxa"/>
            <w:tcMar>
              <w:top w:w="80" w:type="dxa"/>
              <w:left w:w="90" w:type="dxa"/>
              <w:bottom w:w="80" w:type="dxa"/>
              <w:right w:w="90" w:type="dxa"/>
            </w:tcMar>
            <w:vAlign w:val="center"/>
          </w:tcPr>
          <w:p w14:paraId="6C97FBC3" w14:textId="77777777" w:rsidR="006A62CE" w:rsidRDefault="00000000">
            <w:pPr>
              <w:spacing w:after="0"/>
            </w:pPr>
            <w:r>
              <w:rPr>
                <w:sz w:val="16"/>
              </w:rPr>
              <w:t>Accessible environmental fragment</w:t>
            </w:r>
          </w:p>
        </w:tc>
      </w:tr>
      <w:tr w:rsidR="006A62CE" w14:paraId="311230A8" w14:textId="77777777">
        <w:trPr>
          <w:jc w:val="center"/>
        </w:trPr>
        <w:tc>
          <w:tcPr>
            <w:tcW w:w="4939" w:type="dxa"/>
            <w:tcMar>
              <w:top w:w="80" w:type="dxa"/>
              <w:left w:w="90" w:type="dxa"/>
              <w:bottom w:w="80" w:type="dxa"/>
              <w:right w:w="90" w:type="dxa"/>
            </w:tcMar>
            <w:vAlign w:val="center"/>
          </w:tcPr>
          <w:p w14:paraId="7B1978C2" w14:textId="77777777" w:rsidR="006A62CE" w:rsidRDefault="00000000">
            <w:pPr>
              <w:spacing w:after="0"/>
            </w:pPr>
            <w:r>
              <w:rPr>
                <w:sz w:val="16"/>
              </w:rPr>
              <w:t>E₁,E₂</w:t>
            </w:r>
          </w:p>
        </w:tc>
        <w:tc>
          <w:tcPr>
            <w:tcW w:w="4939" w:type="dxa"/>
            <w:tcMar>
              <w:top w:w="80" w:type="dxa"/>
              <w:left w:w="90" w:type="dxa"/>
              <w:bottom w:w="80" w:type="dxa"/>
              <w:right w:w="90" w:type="dxa"/>
            </w:tcMar>
            <w:vAlign w:val="center"/>
          </w:tcPr>
          <w:p w14:paraId="1B3A927B" w14:textId="77777777" w:rsidR="006A62CE" w:rsidRDefault="00000000">
            <w:pPr>
              <w:spacing w:after="0"/>
            </w:pPr>
            <w:r>
              <w:rPr>
                <w:sz w:val="16"/>
              </w:rPr>
              <w:t>Record subsystems written by the two local interactions</w:t>
            </w:r>
          </w:p>
        </w:tc>
      </w:tr>
      <w:tr w:rsidR="006A62CE" w14:paraId="15B5EC92" w14:textId="77777777">
        <w:trPr>
          <w:jc w:val="center"/>
        </w:trPr>
        <w:tc>
          <w:tcPr>
            <w:tcW w:w="4939" w:type="dxa"/>
            <w:tcMar>
              <w:top w:w="80" w:type="dxa"/>
              <w:left w:w="90" w:type="dxa"/>
              <w:bottom w:w="80" w:type="dxa"/>
              <w:right w:w="90" w:type="dxa"/>
            </w:tcMar>
            <w:vAlign w:val="center"/>
          </w:tcPr>
          <w:p w14:paraId="21E16ACF" w14:textId="77777777" w:rsidR="006A62CE" w:rsidRDefault="00000000">
            <w:pPr>
              <w:spacing w:after="0"/>
            </w:pPr>
            <w:r>
              <w:rPr>
                <w:sz w:val="16"/>
              </w:rPr>
              <w:lastRenderedPageBreak/>
              <w:t>U_A,U_B</w:t>
            </w:r>
          </w:p>
        </w:tc>
        <w:tc>
          <w:tcPr>
            <w:tcW w:w="4939" w:type="dxa"/>
            <w:tcMar>
              <w:top w:w="80" w:type="dxa"/>
              <w:left w:w="90" w:type="dxa"/>
              <w:bottom w:w="80" w:type="dxa"/>
              <w:right w:w="90" w:type="dxa"/>
            </w:tcMar>
            <w:vAlign w:val="center"/>
          </w:tcPr>
          <w:p w14:paraId="5FCB4F81" w14:textId="77777777" w:rsidR="006A62CE" w:rsidRDefault="00000000">
            <w:pPr>
              <w:spacing w:after="0"/>
            </w:pPr>
            <w:r>
              <w:rPr>
                <w:sz w:val="16"/>
              </w:rPr>
              <w:t>Record-generating local unitaries</w:t>
            </w:r>
          </w:p>
        </w:tc>
      </w:tr>
      <w:tr w:rsidR="006A62CE" w14:paraId="30A4B1AB" w14:textId="77777777">
        <w:trPr>
          <w:jc w:val="center"/>
        </w:trPr>
        <w:tc>
          <w:tcPr>
            <w:tcW w:w="4939" w:type="dxa"/>
            <w:tcMar>
              <w:top w:w="80" w:type="dxa"/>
              <w:left w:w="90" w:type="dxa"/>
              <w:bottom w:w="80" w:type="dxa"/>
              <w:right w:w="90" w:type="dxa"/>
            </w:tcMar>
            <w:vAlign w:val="center"/>
          </w:tcPr>
          <w:p w14:paraId="7F41554F" w14:textId="77777777" w:rsidR="006A62CE" w:rsidRDefault="00000000">
            <w:pPr>
              <w:spacing w:after="0"/>
            </w:pPr>
            <w:r>
              <w:rPr>
                <w:sz w:val="16"/>
              </w:rPr>
              <w:t>Qλ</w:t>
            </w:r>
          </w:p>
        </w:tc>
        <w:tc>
          <w:tcPr>
            <w:tcW w:w="4939" w:type="dxa"/>
            <w:tcMar>
              <w:top w:w="80" w:type="dxa"/>
              <w:left w:w="90" w:type="dxa"/>
              <w:bottom w:w="80" w:type="dxa"/>
              <w:right w:w="90" w:type="dxa"/>
            </w:tcMar>
            <w:vAlign w:val="center"/>
          </w:tcPr>
          <w:p w14:paraId="0872A15A" w14:textId="77777777" w:rsidR="006A62CE" w:rsidRDefault="00000000">
            <w:pPr>
              <w:spacing w:after="0"/>
            </w:pPr>
            <w:r>
              <w:rPr>
                <w:sz w:val="16"/>
              </w:rPr>
              <w:t>Pointer-sector projector</w:t>
            </w:r>
          </w:p>
        </w:tc>
      </w:tr>
      <w:tr w:rsidR="006A62CE" w14:paraId="01D5C9A1" w14:textId="77777777">
        <w:trPr>
          <w:jc w:val="center"/>
        </w:trPr>
        <w:tc>
          <w:tcPr>
            <w:tcW w:w="4939" w:type="dxa"/>
            <w:tcMar>
              <w:top w:w="80" w:type="dxa"/>
              <w:left w:w="90" w:type="dxa"/>
              <w:bottom w:w="80" w:type="dxa"/>
              <w:right w:w="90" w:type="dxa"/>
            </w:tcMar>
            <w:vAlign w:val="center"/>
          </w:tcPr>
          <w:p w14:paraId="3940BAE6" w14:textId="77777777" w:rsidR="006A62CE" w:rsidRDefault="00000000">
            <w:pPr>
              <w:spacing w:after="0"/>
            </w:pPr>
            <w:r>
              <w:rPr>
                <w:sz w:val="16"/>
              </w:rPr>
              <w:t>D_T</w:t>
            </w:r>
          </w:p>
        </w:tc>
        <w:tc>
          <w:tcPr>
            <w:tcW w:w="4939" w:type="dxa"/>
            <w:tcMar>
              <w:top w:w="80" w:type="dxa"/>
              <w:left w:w="90" w:type="dxa"/>
              <w:bottom w:w="80" w:type="dxa"/>
              <w:right w:w="90" w:type="dxa"/>
            </w:tcMar>
            <w:vAlign w:val="center"/>
          </w:tcPr>
          <w:p w14:paraId="034ED1DD" w14:textId="77777777" w:rsidR="006A62CE" w:rsidRDefault="00000000">
            <w:pPr>
              <w:spacing w:after="0"/>
            </w:pPr>
            <w:r>
              <w:rPr>
                <w:sz w:val="16"/>
              </w:rPr>
              <w:t>Complete dephasing of T in the order-branch basis</w:t>
            </w:r>
          </w:p>
        </w:tc>
      </w:tr>
      <w:tr w:rsidR="006A62CE" w14:paraId="1CC7051E" w14:textId="77777777">
        <w:trPr>
          <w:jc w:val="center"/>
        </w:trPr>
        <w:tc>
          <w:tcPr>
            <w:tcW w:w="4939" w:type="dxa"/>
            <w:tcMar>
              <w:top w:w="80" w:type="dxa"/>
              <w:left w:w="90" w:type="dxa"/>
              <w:bottom w:w="80" w:type="dxa"/>
              <w:right w:w="90" w:type="dxa"/>
            </w:tcMar>
            <w:vAlign w:val="center"/>
          </w:tcPr>
          <w:p w14:paraId="01A4DDC4" w14:textId="77777777" w:rsidR="006A62CE" w:rsidRDefault="00000000">
            <w:pPr>
              <w:spacing w:after="0"/>
            </w:pPr>
            <w:r>
              <w:rPr>
                <w:sz w:val="16"/>
              </w:rPr>
              <w:t>Y</w:t>
            </w:r>
          </w:p>
        </w:tc>
        <w:tc>
          <w:tcPr>
            <w:tcW w:w="4939" w:type="dxa"/>
            <w:tcMar>
              <w:top w:w="80" w:type="dxa"/>
              <w:left w:w="90" w:type="dxa"/>
              <w:bottom w:w="80" w:type="dxa"/>
              <w:right w:w="90" w:type="dxa"/>
            </w:tcMar>
            <w:vAlign w:val="center"/>
          </w:tcPr>
          <w:p w14:paraId="2CDC5C20" w14:textId="77777777" w:rsidR="006A62CE" w:rsidRDefault="00000000">
            <w:pPr>
              <w:spacing w:after="0"/>
            </w:pPr>
            <w:r>
              <w:rPr>
                <w:sz w:val="16"/>
              </w:rPr>
              <w:t>Classical outcome register of an instrument on T</w:t>
            </w:r>
          </w:p>
        </w:tc>
      </w:tr>
      <w:tr w:rsidR="006A62CE" w14:paraId="23560D58" w14:textId="77777777">
        <w:trPr>
          <w:jc w:val="center"/>
        </w:trPr>
        <w:tc>
          <w:tcPr>
            <w:tcW w:w="4939" w:type="dxa"/>
            <w:tcMar>
              <w:top w:w="80" w:type="dxa"/>
              <w:left w:w="90" w:type="dxa"/>
              <w:bottom w:w="80" w:type="dxa"/>
              <w:right w:w="90" w:type="dxa"/>
            </w:tcMar>
            <w:vAlign w:val="center"/>
          </w:tcPr>
          <w:p w14:paraId="1A1C1EBA" w14:textId="77777777" w:rsidR="006A62CE" w:rsidRDefault="00000000">
            <w:pPr>
              <w:spacing w:after="0"/>
            </w:pPr>
            <w:r>
              <w:rPr>
                <w:sz w:val="16"/>
              </w:rPr>
              <w:t>W_sw,W_ext</w:t>
            </w:r>
          </w:p>
        </w:tc>
        <w:tc>
          <w:tcPr>
            <w:tcW w:w="4939" w:type="dxa"/>
            <w:tcMar>
              <w:top w:w="80" w:type="dxa"/>
              <w:left w:w="90" w:type="dxa"/>
              <w:bottom w:w="80" w:type="dxa"/>
              <w:right w:w="90" w:type="dxa"/>
            </w:tcMar>
            <w:vAlign w:val="center"/>
          </w:tcPr>
          <w:p w14:paraId="43D37C58" w14:textId="77777777" w:rsidR="006A62CE" w:rsidRDefault="00000000">
            <w:pPr>
              <w:spacing w:after="0"/>
            </w:pPr>
            <w:r>
              <w:rPr>
                <w:sz w:val="16"/>
              </w:rPr>
              <w:t>Base switch process and record-augmented process</w:t>
            </w:r>
          </w:p>
        </w:tc>
      </w:tr>
      <w:tr w:rsidR="006A62CE" w14:paraId="00D2F9BC" w14:textId="77777777">
        <w:trPr>
          <w:jc w:val="center"/>
        </w:trPr>
        <w:tc>
          <w:tcPr>
            <w:tcW w:w="4939" w:type="dxa"/>
            <w:tcMar>
              <w:top w:w="80" w:type="dxa"/>
              <w:left w:w="90" w:type="dxa"/>
              <w:bottom w:w="80" w:type="dxa"/>
              <w:right w:w="90" w:type="dxa"/>
            </w:tcMar>
            <w:vAlign w:val="center"/>
          </w:tcPr>
          <w:p w14:paraId="374AA67C" w14:textId="77777777" w:rsidR="006A62CE" w:rsidRDefault="00000000">
            <w:pPr>
              <w:spacing w:after="0"/>
            </w:pPr>
            <w:r>
              <w:rPr>
                <w:sz w:val="16"/>
              </w:rPr>
              <w:t>R,R*</w:t>
            </w:r>
          </w:p>
        </w:tc>
        <w:tc>
          <w:tcPr>
            <w:tcW w:w="4939" w:type="dxa"/>
            <w:tcMar>
              <w:top w:w="80" w:type="dxa"/>
              <w:left w:w="90" w:type="dxa"/>
              <w:bottom w:w="80" w:type="dxa"/>
              <w:right w:w="90" w:type="dxa"/>
            </w:tcMar>
            <w:vAlign w:val="center"/>
          </w:tcPr>
          <w:p w14:paraId="45E1C1C2" w14:textId="77777777" w:rsidR="006A62CE" w:rsidRDefault="00000000">
            <w:pPr>
              <w:spacing w:after="0"/>
            </w:pPr>
            <w:r>
              <w:rPr>
                <w:sz w:val="16"/>
              </w:rPr>
              <w:t>Deterministic local recovery/discard map and its Hilbert-Schmidt adjoint</w:t>
            </w:r>
          </w:p>
        </w:tc>
      </w:tr>
      <w:tr w:rsidR="006A62CE" w14:paraId="0555937A" w14:textId="77777777">
        <w:trPr>
          <w:jc w:val="center"/>
        </w:trPr>
        <w:tc>
          <w:tcPr>
            <w:tcW w:w="4939" w:type="dxa"/>
            <w:tcMar>
              <w:top w:w="80" w:type="dxa"/>
              <w:left w:w="90" w:type="dxa"/>
              <w:bottom w:w="80" w:type="dxa"/>
              <w:right w:w="90" w:type="dxa"/>
            </w:tcMar>
            <w:vAlign w:val="center"/>
          </w:tcPr>
          <w:p w14:paraId="38C35500" w14:textId="77777777" w:rsidR="006A62CE" w:rsidRDefault="00000000">
            <w:pPr>
              <w:spacing w:after="0"/>
            </w:pPr>
            <w:r>
              <w:rPr>
                <w:sz w:val="16"/>
              </w:rPr>
              <w:t>S_sw,S_ext</w:t>
            </w:r>
          </w:p>
        </w:tc>
        <w:tc>
          <w:tcPr>
            <w:tcW w:w="4939" w:type="dxa"/>
            <w:tcMar>
              <w:top w:w="80" w:type="dxa"/>
              <w:left w:w="90" w:type="dxa"/>
              <w:bottom w:w="80" w:type="dxa"/>
              <w:right w:w="90" w:type="dxa"/>
            </w:tcMar>
            <w:vAlign w:val="center"/>
          </w:tcPr>
          <w:p w14:paraId="38A0A137" w14:textId="77777777" w:rsidR="006A62CE" w:rsidRDefault="00000000">
            <w:pPr>
              <w:spacing w:after="0"/>
            </w:pPr>
            <w:r>
              <w:rPr>
                <w:sz w:val="16"/>
              </w:rPr>
              <w:t>Base causal witness and its pulled-back extension</w:t>
            </w:r>
          </w:p>
        </w:tc>
      </w:tr>
    </w:tbl>
    <w:p w14:paraId="3F07504A" w14:textId="77777777" w:rsidR="006A62CE" w:rsidRDefault="006A62CE">
      <w:pPr>
        <w:spacing w:after="20"/>
      </w:pPr>
    </w:p>
    <w:p w14:paraId="169FFDBA" w14:textId="77777777" w:rsidR="006A62CE" w:rsidRDefault="00000000">
      <w:pPr>
        <w:pStyle w:val="Heading2"/>
      </w:pPr>
      <w:r>
        <w:t>B. Pointer labels, fragments, and objectivity</w:t>
      </w:r>
    </w:p>
    <w:p w14:paraId="12D5900E" w14:textId="77777777" w:rsidR="006A62CE" w:rsidRDefault="00000000">
      <w:r>
        <w:t>Let Λ be a classical pointer label with prior qλ and conditional states ρ_{TF|λ}. The associated classical-quantum state is</w:t>
      </w:r>
    </w:p>
    <w:p w14:paraId="26042781" w14:textId="77777777" w:rsidR="006A62CE" w:rsidRDefault="00000000">
      <w:pPr>
        <w:pStyle w:val="Equation"/>
      </w:pPr>
      <w:r>
        <w:t>ρ_{ΛTF} = Σλ qλ |λ&gt;&lt;λ| ⊗ ρ_{TF|λ}.                                                (1)</w:t>
      </w:r>
    </w:p>
    <w:p w14:paraId="086C3F1B" w14:textId="77777777" w:rsidR="006A62CE" w:rsidRDefault="00000000">
      <w:r>
        <w:t>For a fragment F, I(Λ:F) equals the Holevo information of the conditional ensemble. Operational redundancy at deficit δ requires many disjoint fragments to carry at least (1-δ)H(Λ). Ordinary redundancy is not identified with strong Quantum Darwinism or spectrum-broadcast structure without their additional conditions; in particular, strong Quantum Darwinism and strong independence provide conditions connected to spectrum-broadcast structure [20].</w:t>
      </w:r>
    </w:p>
    <w:p w14:paraId="3BBDADF9" w14:textId="77777777" w:rsidR="006A62CE" w:rsidRDefault="00000000">
      <w:pPr>
        <w:pStyle w:val="Heading2"/>
      </w:pPr>
      <w:r>
        <w:t>C. Causal separability and composite process class</w:t>
      </w:r>
    </w:p>
    <w:p w14:paraId="76C80803" w14:textId="77777777" w:rsidR="006A62CE" w:rsidRDefault="00000000">
      <w:r>
        <w:t>For the tripartite switch setting with a final party and no final output, a causally separable process admits a convex decomposition</w:t>
      </w:r>
    </w:p>
    <w:p w14:paraId="72E86422" w14:textId="77777777" w:rsidR="006A62CE" w:rsidRDefault="00000000">
      <w:pPr>
        <w:pStyle w:val="Equation"/>
      </w:pPr>
      <w:r>
        <w:t>W_sep = q W^(A≺B≺C) + (1-q) W^(B≺A≺C).                                  (2)</w:t>
      </w:r>
    </w:p>
    <w:p w14:paraId="58564EBB" w14:textId="77777777" w:rsidR="006A62CE" w:rsidRDefault="00000000">
      <w:r>
        <w:t>A causal witness is nonnegative on every causally separable process and negative on at least one causally nonseparable process [10-12]. Record quality and causal certification are evaluated separately.</w:t>
      </w:r>
    </w:p>
    <w:tbl>
      <w:tblPr>
        <w:tblStyle w:val="TableGrid"/>
        <w:tblW w:w="0" w:type="auto"/>
        <w:jc w:val="center"/>
        <w:tblLook w:val="04A0" w:firstRow="1" w:lastRow="0" w:firstColumn="1" w:lastColumn="0" w:noHBand="0" w:noVBand="1"/>
      </w:tblPr>
      <w:tblGrid>
        <w:gridCol w:w="9878"/>
      </w:tblGrid>
      <w:tr w:rsidR="006A62CE" w14:paraId="5250DDC1" w14:textId="77777777">
        <w:trPr>
          <w:jc w:val="center"/>
        </w:trPr>
        <w:tc>
          <w:tcPr>
            <w:tcW w:w="9878" w:type="dxa"/>
            <w:shd w:val="clear" w:color="auto" w:fill="EAF2F8"/>
            <w:tcMar>
              <w:top w:w="120" w:type="dxa"/>
              <w:left w:w="140" w:type="dxa"/>
              <w:bottom w:w="120" w:type="dxa"/>
              <w:right w:w="140" w:type="dxa"/>
            </w:tcMar>
          </w:tcPr>
          <w:p w14:paraId="021748CF" w14:textId="77777777" w:rsidR="006A62CE" w:rsidRDefault="00000000">
            <w:r>
              <w:rPr>
                <w:b/>
                <w:color w:val="1F4E79"/>
              </w:rPr>
              <w:t>Definition 1. Composite record-process class.</w:t>
            </w:r>
            <w:r>
              <w:rPr>
                <w:b/>
                <w:color w:val="1F4E79"/>
              </w:rPr>
              <w:br/>
            </w:r>
            <w:r>
              <w:t>Let C_rec contain (a) fixed-order processes with deterministic local record channels, (b) the unaltered quantum switch without appended records, and (c) record-augmented switch processes. The class is closed under adjoining deterministic local record channels and under deterministic local discard of those records. The operations preserve the validity constraints of the underlying process space.</w:t>
            </w:r>
          </w:p>
        </w:tc>
      </w:tr>
    </w:tbl>
    <w:p w14:paraId="03580392" w14:textId="77777777" w:rsidR="006A62CE" w:rsidRDefault="006A62CE">
      <w:pPr>
        <w:spacing w:after="20"/>
      </w:pPr>
    </w:p>
    <w:p w14:paraId="628DA2F9" w14:textId="77777777" w:rsidR="006A62CE" w:rsidRDefault="00000000">
      <w:pPr>
        <w:pStyle w:val="Heading1"/>
      </w:pPr>
      <w:r>
        <w:t>III. Independence and control-access decomposition</w:t>
      </w:r>
    </w:p>
    <w:p w14:paraId="6EB2075E" w14:textId="77777777" w:rsidR="006A62CE" w:rsidRDefault="00000000">
      <w:pPr>
        <w:pStyle w:val="Heading2"/>
      </w:pPr>
      <w:r>
        <w:t>Theorem 1. Logical independence</w:t>
      </w:r>
    </w:p>
    <w:p w14:paraId="3ED183FB" w14:textId="77777777" w:rsidR="006A62CE" w:rsidRDefault="00000000">
      <w:r>
        <w:t>Within C_rec, environmental objectivity is neither necessary nor sufficient for causal nonseparability.</w:t>
      </w:r>
    </w:p>
    <w:p w14:paraId="06C0FE24" w14:textId="77777777" w:rsidR="006A62CE" w:rsidRDefault="00000000">
      <w:r>
        <w:t>Proof. A fixed-order process with compatible repeated records is objective but causally separable. The unaltered causally nonseparable quantum switch, or a switch with blank or incompatible record channels, is nonobjective but causally nonseparable. A switch with common-pointer-preserving record channels can satisfy both properties. A fixed-order nonrecording process satisfies neither. The quantum switch is treated as a higher-order controlled-order process as introduced in Ref. [19], and causal nonseparability is certified independently through the process framework [10-12,15]. These constructions populate all four sectors. □</w:t>
      </w:r>
    </w:p>
    <w:p w14:paraId="34E26945" w14:textId="77777777" w:rsidR="006A62CE" w:rsidRDefault="00000000">
      <w:pPr>
        <w:jc w:val="center"/>
      </w:pPr>
      <w:r>
        <w:rPr>
          <w:b/>
          <w:sz w:val="18"/>
        </w:rPr>
        <w:t>Table III. Constructive population of the four logical sectors.</w:t>
      </w:r>
    </w:p>
    <w:tbl>
      <w:tblPr>
        <w:tblStyle w:val="TableGrid"/>
        <w:tblW w:w="0" w:type="auto"/>
        <w:jc w:val="center"/>
        <w:tblLook w:val="04A0" w:firstRow="1" w:lastRow="0" w:firstColumn="1" w:lastColumn="0" w:noHBand="0" w:noVBand="1"/>
      </w:tblPr>
      <w:tblGrid>
        <w:gridCol w:w="3293"/>
        <w:gridCol w:w="3293"/>
        <w:gridCol w:w="3293"/>
      </w:tblGrid>
      <w:tr w:rsidR="006A62CE" w14:paraId="7DC6F064" w14:textId="77777777">
        <w:trPr>
          <w:jc w:val="center"/>
        </w:trPr>
        <w:tc>
          <w:tcPr>
            <w:tcW w:w="3293" w:type="dxa"/>
            <w:shd w:val="clear" w:color="auto" w:fill="D9EAF7"/>
            <w:tcMar>
              <w:top w:w="80" w:type="dxa"/>
              <w:left w:w="90" w:type="dxa"/>
              <w:bottom w:w="80" w:type="dxa"/>
              <w:right w:w="90" w:type="dxa"/>
            </w:tcMar>
            <w:vAlign w:val="center"/>
          </w:tcPr>
          <w:p w14:paraId="6CED4CC3" w14:textId="77777777" w:rsidR="006A62CE" w:rsidRDefault="00000000">
            <w:r>
              <w:rPr>
                <w:rFonts w:ascii="Arial" w:hAnsi="Arial"/>
                <w:b/>
                <w:sz w:val="17"/>
              </w:rPr>
              <w:t>Environmental objectivity</w:t>
            </w:r>
          </w:p>
        </w:tc>
        <w:tc>
          <w:tcPr>
            <w:tcW w:w="3293" w:type="dxa"/>
            <w:shd w:val="clear" w:color="auto" w:fill="D9EAF7"/>
            <w:tcMar>
              <w:top w:w="80" w:type="dxa"/>
              <w:left w:w="90" w:type="dxa"/>
              <w:bottom w:w="80" w:type="dxa"/>
              <w:right w:w="90" w:type="dxa"/>
            </w:tcMar>
            <w:vAlign w:val="center"/>
          </w:tcPr>
          <w:p w14:paraId="66A6C6BB" w14:textId="77777777" w:rsidR="006A62CE" w:rsidRDefault="00000000">
            <w:r>
              <w:rPr>
                <w:rFonts w:ascii="Arial" w:hAnsi="Arial"/>
                <w:b/>
                <w:sz w:val="17"/>
              </w:rPr>
              <w:t>Causal nonseparability</w:t>
            </w:r>
          </w:p>
        </w:tc>
        <w:tc>
          <w:tcPr>
            <w:tcW w:w="3293" w:type="dxa"/>
            <w:shd w:val="clear" w:color="auto" w:fill="D9EAF7"/>
            <w:tcMar>
              <w:top w:w="80" w:type="dxa"/>
              <w:left w:w="90" w:type="dxa"/>
              <w:bottom w:w="80" w:type="dxa"/>
              <w:right w:w="90" w:type="dxa"/>
            </w:tcMar>
            <w:vAlign w:val="center"/>
          </w:tcPr>
          <w:p w14:paraId="2722D15F" w14:textId="77777777" w:rsidR="006A62CE" w:rsidRDefault="00000000">
            <w:r>
              <w:rPr>
                <w:rFonts w:ascii="Arial" w:hAnsi="Arial"/>
                <w:b/>
                <w:sz w:val="17"/>
              </w:rPr>
              <w:t>Construction</w:t>
            </w:r>
          </w:p>
        </w:tc>
      </w:tr>
      <w:tr w:rsidR="006A62CE" w14:paraId="4BB8D2B5" w14:textId="77777777">
        <w:trPr>
          <w:jc w:val="center"/>
        </w:trPr>
        <w:tc>
          <w:tcPr>
            <w:tcW w:w="3293" w:type="dxa"/>
            <w:tcMar>
              <w:top w:w="80" w:type="dxa"/>
              <w:left w:w="90" w:type="dxa"/>
              <w:bottom w:w="80" w:type="dxa"/>
              <w:right w:w="90" w:type="dxa"/>
            </w:tcMar>
            <w:vAlign w:val="center"/>
          </w:tcPr>
          <w:p w14:paraId="54012616" w14:textId="77777777" w:rsidR="006A62CE" w:rsidRDefault="00000000">
            <w:pPr>
              <w:spacing w:after="0"/>
            </w:pPr>
            <w:r>
              <w:rPr>
                <w:sz w:val="16"/>
              </w:rPr>
              <w:lastRenderedPageBreak/>
              <w:t>Yes</w:t>
            </w:r>
          </w:p>
        </w:tc>
        <w:tc>
          <w:tcPr>
            <w:tcW w:w="3293" w:type="dxa"/>
            <w:tcMar>
              <w:top w:w="80" w:type="dxa"/>
              <w:left w:w="90" w:type="dxa"/>
              <w:bottom w:w="80" w:type="dxa"/>
              <w:right w:w="90" w:type="dxa"/>
            </w:tcMar>
            <w:vAlign w:val="center"/>
          </w:tcPr>
          <w:p w14:paraId="4B1EFA46" w14:textId="77777777" w:rsidR="006A62CE" w:rsidRDefault="00000000">
            <w:pPr>
              <w:spacing w:after="0"/>
            </w:pPr>
            <w:r>
              <w:rPr>
                <w:sz w:val="16"/>
              </w:rPr>
              <w:t>No</w:t>
            </w:r>
          </w:p>
        </w:tc>
        <w:tc>
          <w:tcPr>
            <w:tcW w:w="3293" w:type="dxa"/>
            <w:tcMar>
              <w:top w:w="80" w:type="dxa"/>
              <w:left w:w="90" w:type="dxa"/>
              <w:bottom w:w="80" w:type="dxa"/>
              <w:right w:w="90" w:type="dxa"/>
            </w:tcMar>
            <w:vAlign w:val="center"/>
          </w:tcPr>
          <w:p w14:paraId="7E7438ED" w14:textId="77777777" w:rsidR="006A62CE" w:rsidRDefault="00000000">
            <w:pPr>
              <w:spacing w:after="0"/>
            </w:pPr>
            <w:r>
              <w:rPr>
                <w:sz w:val="16"/>
              </w:rPr>
              <w:t>Fixed order with compatible repeated records</w:t>
            </w:r>
          </w:p>
        </w:tc>
      </w:tr>
      <w:tr w:rsidR="006A62CE" w14:paraId="6DE3C59B" w14:textId="77777777">
        <w:trPr>
          <w:jc w:val="center"/>
        </w:trPr>
        <w:tc>
          <w:tcPr>
            <w:tcW w:w="3293" w:type="dxa"/>
            <w:tcMar>
              <w:top w:w="80" w:type="dxa"/>
              <w:left w:w="90" w:type="dxa"/>
              <w:bottom w:w="80" w:type="dxa"/>
              <w:right w:w="90" w:type="dxa"/>
            </w:tcMar>
            <w:vAlign w:val="center"/>
          </w:tcPr>
          <w:p w14:paraId="0C785847" w14:textId="77777777" w:rsidR="006A62CE" w:rsidRDefault="00000000">
            <w:pPr>
              <w:spacing w:after="0"/>
            </w:pPr>
            <w:r>
              <w:rPr>
                <w:sz w:val="16"/>
              </w:rPr>
              <w:t>No</w:t>
            </w:r>
          </w:p>
        </w:tc>
        <w:tc>
          <w:tcPr>
            <w:tcW w:w="3293" w:type="dxa"/>
            <w:tcMar>
              <w:top w:w="80" w:type="dxa"/>
              <w:left w:w="90" w:type="dxa"/>
              <w:bottom w:w="80" w:type="dxa"/>
              <w:right w:w="90" w:type="dxa"/>
            </w:tcMar>
            <w:vAlign w:val="center"/>
          </w:tcPr>
          <w:p w14:paraId="7FDF4C31" w14:textId="77777777" w:rsidR="006A62CE" w:rsidRDefault="00000000">
            <w:pPr>
              <w:spacing w:after="0"/>
            </w:pPr>
            <w:r>
              <w:rPr>
                <w:sz w:val="16"/>
              </w:rPr>
              <w:t>Yes</w:t>
            </w:r>
          </w:p>
        </w:tc>
        <w:tc>
          <w:tcPr>
            <w:tcW w:w="3293" w:type="dxa"/>
            <w:tcMar>
              <w:top w:w="80" w:type="dxa"/>
              <w:left w:w="90" w:type="dxa"/>
              <w:bottom w:w="80" w:type="dxa"/>
              <w:right w:w="90" w:type="dxa"/>
            </w:tcMar>
            <w:vAlign w:val="center"/>
          </w:tcPr>
          <w:p w14:paraId="347B010B" w14:textId="77777777" w:rsidR="006A62CE" w:rsidRDefault="00000000">
            <w:pPr>
              <w:spacing w:after="0"/>
            </w:pPr>
            <w:r>
              <w:rPr>
                <w:sz w:val="16"/>
              </w:rPr>
              <w:t>Unaltered switch or switch with blank/incompatible records</w:t>
            </w:r>
          </w:p>
        </w:tc>
      </w:tr>
      <w:tr w:rsidR="006A62CE" w14:paraId="1430E706" w14:textId="77777777">
        <w:trPr>
          <w:jc w:val="center"/>
        </w:trPr>
        <w:tc>
          <w:tcPr>
            <w:tcW w:w="3293" w:type="dxa"/>
            <w:tcMar>
              <w:top w:w="80" w:type="dxa"/>
              <w:left w:w="90" w:type="dxa"/>
              <w:bottom w:w="80" w:type="dxa"/>
              <w:right w:w="90" w:type="dxa"/>
            </w:tcMar>
            <w:vAlign w:val="center"/>
          </w:tcPr>
          <w:p w14:paraId="5620B781" w14:textId="77777777" w:rsidR="006A62CE" w:rsidRDefault="00000000">
            <w:pPr>
              <w:spacing w:after="0"/>
            </w:pPr>
            <w:r>
              <w:rPr>
                <w:sz w:val="16"/>
              </w:rPr>
              <w:t>Yes</w:t>
            </w:r>
          </w:p>
        </w:tc>
        <w:tc>
          <w:tcPr>
            <w:tcW w:w="3293" w:type="dxa"/>
            <w:tcMar>
              <w:top w:w="80" w:type="dxa"/>
              <w:left w:w="90" w:type="dxa"/>
              <w:bottom w:w="80" w:type="dxa"/>
              <w:right w:w="90" w:type="dxa"/>
            </w:tcMar>
            <w:vAlign w:val="center"/>
          </w:tcPr>
          <w:p w14:paraId="402CB4CB" w14:textId="77777777" w:rsidR="006A62CE" w:rsidRDefault="00000000">
            <w:pPr>
              <w:spacing w:after="0"/>
            </w:pPr>
            <w:r>
              <w:rPr>
                <w:sz w:val="16"/>
              </w:rPr>
              <w:t>Yes</w:t>
            </w:r>
          </w:p>
        </w:tc>
        <w:tc>
          <w:tcPr>
            <w:tcW w:w="3293" w:type="dxa"/>
            <w:tcMar>
              <w:top w:w="80" w:type="dxa"/>
              <w:left w:w="90" w:type="dxa"/>
              <w:bottom w:w="80" w:type="dxa"/>
              <w:right w:w="90" w:type="dxa"/>
            </w:tcMar>
            <w:vAlign w:val="center"/>
          </w:tcPr>
          <w:p w14:paraId="0E209CED" w14:textId="77777777" w:rsidR="006A62CE" w:rsidRDefault="00000000">
            <w:pPr>
              <w:spacing w:after="0"/>
            </w:pPr>
            <w:r>
              <w:rPr>
                <w:sz w:val="16"/>
              </w:rPr>
              <w:t>Switch with common-pointer-preserving record channels</w:t>
            </w:r>
          </w:p>
        </w:tc>
      </w:tr>
      <w:tr w:rsidR="006A62CE" w14:paraId="7C94F1AE" w14:textId="77777777">
        <w:trPr>
          <w:jc w:val="center"/>
        </w:trPr>
        <w:tc>
          <w:tcPr>
            <w:tcW w:w="3293" w:type="dxa"/>
            <w:tcMar>
              <w:top w:w="80" w:type="dxa"/>
              <w:left w:w="90" w:type="dxa"/>
              <w:bottom w:w="80" w:type="dxa"/>
              <w:right w:w="90" w:type="dxa"/>
            </w:tcMar>
            <w:vAlign w:val="center"/>
          </w:tcPr>
          <w:p w14:paraId="331B8A20" w14:textId="77777777" w:rsidR="006A62CE" w:rsidRDefault="00000000">
            <w:pPr>
              <w:spacing w:after="0"/>
            </w:pPr>
            <w:r>
              <w:rPr>
                <w:sz w:val="16"/>
              </w:rPr>
              <w:t>No</w:t>
            </w:r>
          </w:p>
        </w:tc>
        <w:tc>
          <w:tcPr>
            <w:tcW w:w="3293" w:type="dxa"/>
            <w:tcMar>
              <w:top w:w="80" w:type="dxa"/>
              <w:left w:w="90" w:type="dxa"/>
              <w:bottom w:w="80" w:type="dxa"/>
              <w:right w:w="90" w:type="dxa"/>
            </w:tcMar>
            <w:vAlign w:val="center"/>
          </w:tcPr>
          <w:p w14:paraId="428EC943" w14:textId="77777777" w:rsidR="006A62CE" w:rsidRDefault="00000000">
            <w:pPr>
              <w:spacing w:after="0"/>
            </w:pPr>
            <w:r>
              <w:rPr>
                <w:sz w:val="16"/>
              </w:rPr>
              <w:t>No</w:t>
            </w:r>
          </w:p>
        </w:tc>
        <w:tc>
          <w:tcPr>
            <w:tcW w:w="3293" w:type="dxa"/>
            <w:tcMar>
              <w:top w:w="80" w:type="dxa"/>
              <w:left w:w="90" w:type="dxa"/>
              <w:bottom w:w="80" w:type="dxa"/>
              <w:right w:w="90" w:type="dxa"/>
            </w:tcMar>
            <w:vAlign w:val="center"/>
          </w:tcPr>
          <w:p w14:paraId="7ACBEECC" w14:textId="77777777" w:rsidR="006A62CE" w:rsidRDefault="00000000">
            <w:pPr>
              <w:spacing w:after="0"/>
            </w:pPr>
            <w:r>
              <w:rPr>
                <w:sz w:val="16"/>
              </w:rPr>
              <w:t>Fixed-order nonrecording process</w:t>
            </w:r>
          </w:p>
        </w:tc>
      </w:tr>
    </w:tbl>
    <w:p w14:paraId="79089DDD" w14:textId="77777777" w:rsidR="006A62CE" w:rsidRDefault="006A62CE">
      <w:pPr>
        <w:spacing w:after="20"/>
      </w:pPr>
    </w:p>
    <w:p w14:paraId="5A9D18A6" w14:textId="77777777" w:rsidR="006A62CE" w:rsidRDefault="00000000">
      <w:pPr>
        <w:pStyle w:val="Heading2"/>
      </w:pPr>
      <w:r>
        <w:t>Theorem 2. Nonnegative access decomposition</w:t>
      </w:r>
    </w:p>
    <w:p w14:paraId="57C791C3" w14:textId="77777777" w:rsidR="006A62CE" w:rsidRDefault="00000000">
      <w:r>
        <w:t>Let D_T completely dephase T in the order-branch basis. Define I_F=I(Λ:F)_ρ, I_class=I(Λ:TF)_{D_T(ρ)}, and I_coh=I(Λ:TF)_ρ. Then</w:t>
      </w:r>
    </w:p>
    <w:p w14:paraId="1E2FD08A" w14:textId="77777777" w:rsidR="006A62CE" w:rsidRDefault="00000000">
      <w:pPr>
        <w:pStyle w:val="Equation"/>
      </w:pPr>
      <w:r>
        <w:t>I_coh - I_F = Δ_coh + Δ_label,    Δ_coh ≥ 0,    Δ_label ≥ 0,                 (3)</w:t>
      </w:r>
    </w:p>
    <w:p w14:paraId="2B600AC9" w14:textId="77777777" w:rsidR="006A62CE" w:rsidRDefault="00000000">
      <w:r>
        <w:t>where Δ_coh=I_coh-I_class and Δ_label=I_class-I_F.</w:t>
      </w:r>
    </w:p>
    <w:p w14:paraId="1E8A93E5" w14:textId="77777777" w:rsidR="006A62CE" w:rsidRDefault="00000000">
      <w:r>
        <w:t>Proof. D_T is a channel local to T. Data processing therefore gives I(Λ:TF)_ρ ≥ I(Λ:TF)_{D_T(ρ)}, proving Δ_coh≥0. Because D_T acts only on T and F is disjoint, dephasing commutes with tracing out T; hence the ΛF marginal is unchanged. The chain rule applied to the dephased state gives</w:t>
      </w:r>
    </w:p>
    <w:p w14:paraId="4558679F" w14:textId="77777777" w:rsidR="006A62CE" w:rsidRDefault="00000000">
      <w:pPr>
        <w:pStyle w:val="Equation"/>
      </w:pPr>
      <w:r>
        <w:t>I(Λ:TF)_{D_T(ρ)} = I(Λ:F)_{D_T(ρ)} + I(Λ:T|F)_{D_T(ρ)}.</w:t>
      </w:r>
    </w:p>
    <w:p w14:paraId="6B8C17C6" w14:textId="77777777" w:rsidR="006A62CE" w:rsidRDefault="00000000">
      <w:r>
        <w:t>The unchanged ΛF marginal implies I(Λ:F)_{D_T(ρ)}=I(Λ:F)_ρ. Therefore</w:t>
      </w:r>
    </w:p>
    <w:p w14:paraId="7878FF09" w14:textId="77777777" w:rsidR="006A62CE" w:rsidRDefault="00000000">
      <w:pPr>
        <w:pStyle w:val="Equation"/>
      </w:pPr>
      <w:r>
        <w:t>Δ_label = I(Λ:T|F)_{D_T(ρ)} ≥ 0.                                        (4)</w:t>
      </w:r>
    </w:p>
    <w:p w14:paraId="54DD0311" w14:textId="77777777" w:rsidR="006A62CE" w:rsidRDefault="00000000">
      <w:r>
        <w:t>The split is defined relative to the declared branch-basis dephasing and access structure; it is not asserted to be a unique partial-information decomposition. □</w:t>
      </w:r>
    </w:p>
    <w:p w14:paraId="3DCB7453" w14:textId="77777777" w:rsidR="006A62CE" w:rsidRDefault="00000000">
      <w:pPr>
        <w:pStyle w:val="Heading1"/>
      </w:pPr>
      <w:r>
        <w:t>IV. Controlled-order record dynamics</w:t>
      </w:r>
    </w:p>
    <w:p w14:paraId="413A6321" w14:textId="77777777" w:rsidR="006A62CE" w:rsidRDefault="00000000">
      <w:r>
        <w:t>Let U_A record the Z pointer into E₁ and U_B record a θ-rotated pointer into E₂. The controlled-order unitary is</w:t>
      </w:r>
    </w:p>
    <w:p w14:paraId="77F9ADB2" w14:textId="77777777" w:rsidR="006A62CE" w:rsidRDefault="00000000">
      <w:pPr>
        <w:pStyle w:val="Equation"/>
      </w:pPr>
      <w:r>
        <w:t>U_ord = |0&gt;&lt;0|_T ⊗ U_B U_A + |1&gt;&lt;1|_T ⊗ U_A U_B.                         (5)</w:t>
      </w:r>
    </w:p>
    <w:tbl>
      <w:tblPr>
        <w:tblStyle w:val="TableGrid"/>
        <w:tblW w:w="0" w:type="auto"/>
        <w:jc w:val="center"/>
        <w:tblLook w:val="04A0" w:firstRow="1" w:lastRow="0" w:firstColumn="1" w:lastColumn="0" w:noHBand="0" w:noVBand="1"/>
      </w:tblPr>
      <w:tblGrid>
        <w:gridCol w:w="9878"/>
      </w:tblGrid>
      <w:tr w:rsidR="006A62CE" w14:paraId="74606428" w14:textId="77777777">
        <w:trPr>
          <w:jc w:val="center"/>
        </w:trPr>
        <w:tc>
          <w:tcPr>
            <w:tcW w:w="9878" w:type="dxa"/>
            <w:shd w:val="clear" w:color="auto" w:fill="EAF2F8"/>
            <w:tcMar>
              <w:top w:w="120" w:type="dxa"/>
              <w:left w:w="140" w:type="dxa"/>
              <w:bottom w:w="120" w:type="dxa"/>
              <w:right w:w="140" w:type="dxa"/>
            </w:tcMar>
          </w:tcPr>
          <w:p w14:paraId="40897528" w14:textId="77777777" w:rsidR="006A62CE" w:rsidRDefault="00000000">
            <w:r>
              <w:rPr>
                <w:b/>
                <w:color w:val="1F4E79"/>
              </w:rPr>
              <w:t>Definition 2. Exact pointer preservation.</w:t>
            </w:r>
            <w:r>
              <w:rPr>
                <w:b/>
                <w:color w:val="1F4E79"/>
              </w:rPr>
              <w:br/>
            </w:r>
            <w:r>
              <w:t>An operator V preserves the pointer projectors {Qλ} exactly when [V,Qλ]=0 for every λ. This operator-level condition is equivalent to block-diagonality in the pointer decomposition and prevents transitions between pointer sectors. For a state supported in one sector, it implies nondemolition preservation of the corresponding pointer value.</w:t>
            </w:r>
          </w:p>
        </w:tc>
      </w:tr>
    </w:tbl>
    <w:p w14:paraId="30EF5090" w14:textId="77777777" w:rsidR="006A62CE" w:rsidRDefault="006A62CE">
      <w:pPr>
        <w:spacing w:after="20"/>
      </w:pPr>
    </w:p>
    <w:p w14:paraId="67F26BDE" w14:textId="77777777" w:rsidR="006A62CE" w:rsidRDefault="00000000">
      <w:pPr>
        <w:pStyle w:val="Heading2"/>
      </w:pPr>
      <w:r>
        <w:t>Theorem 3. Common-pointer sufficiency</w:t>
      </w:r>
    </w:p>
    <w:p w14:paraId="5A210F65" w14:textId="77777777" w:rsidR="006A62CE" w:rsidRDefault="00000000">
      <w:r>
        <w:t>If [U_A,Qλ]=[U_B,Qλ]=0 for every pointer projector Qλ, then both definite orders, U_ord, and every nonzero postselected operator Kφ=&lt;φ|U_ord|τ&gt; preserve Qλ. Products and linear combinations of operators in the commutant remain in the commutant.</w:t>
      </w:r>
    </w:p>
    <w:p w14:paraId="4158772C" w14:textId="77777777" w:rsidR="006A62CE" w:rsidRDefault="00000000">
      <w:pPr>
        <w:pStyle w:val="Heading2"/>
      </w:pPr>
      <w:r>
        <w:t>Theorem 4. Orthogonal-branch necessity</w:t>
      </w:r>
    </w:p>
    <w:p w14:paraId="79E0B8E2" w14:textId="77777777" w:rsidR="006A62CE" w:rsidRDefault="00000000">
      <w:r>
        <w:t>For an initial control state τ_T with branch weights p₀=&lt;0|τ_T|0&gt; and p₁=&lt;1|τ_T|1&gt;, exact unconditional operator-level preservation by U_ord holds if and only if both order products preserve the pointer projector, because</w:t>
      </w:r>
    </w:p>
    <w:p w14:paraId="3D21B781" w14:textId="77777777" w:rsidR="006A62CE" w:rsidRDefault="00000000">
      <w:pPr>
        <w:pStyle w:val="Equation"/>
      </w:pPr>
      <w:r>
        <w:t>[U_ord,I_T⊗Qλ] = |0&gt;&lt;0|⊗[U_B U_A,Qλ] + |1&gt;&lt;1|⊗[U_A U_B,Qλ].             (6)</w:t>
      </w:r>
    </w:p>
    <w:p w14:paraId="51899E03" w14:textId="77777777" w:rsidR="006A62CE" w:rsidRDefault="00000000">
      <w:r>
        <w:t xml:space="preserve">The terms occupy orthogonal control blocks, so cross-order coherence cannot cancel operator-level leakage. For a projector Qλ, define the nonnegative Hilbert-Schmidt leakage Lλ(V)=||(I-Qλ)VQλ||₂². With initial control branch weights p₀ and p₁, tracing out T gives Lλ(U_ord)=p₀Lλ(U_B U_A)+p₁Lλ(U_A U_B). Thus zero unconditional leakage with both weights nonzero is equivalent to zero leakage in each occupied branch. If one branch has zero </w:t>
      </w:r>
      <w:r>
        <w:lastRenderedPageBreak/>
        <w:t>weight, necessity applies only to the occupied branch. The same conclusion holds for any nonnegative leakage functional additive on orthogonal control blocks.</w:t>
      </w:r>
    </w:p>
    <w:p w14:paraId="277FC43D" w14:textId="77777777" w:rsidR="006A62CE" w:rsidRDefault="00000000">
      <w:pPr>
        <w:pStyle w:val="Heading1"/>
      </w:pPr>
      <w:r>
        <w:t>V. Postselection information budget</w:t>
      </w:r>
    </w:p>
    <w:p w14:paraId="6B982842" w14:textId="77777777" w:rsidR="006A62CE" w:rsidRDefault="00000000">
      <w:r>
        <w:t>Let an instrument {M_y} on T store its accessible outcome in a classical register Y. The post-instrument state is ρ_{ΛFY}=Σ_y p_y ρ_{ΛF|y}⊗|y&gt;&lt;y|, where p_y&gt;0 for every selected outcome retained in the formulas. Define χ_y=I(Λ:F)_{ρ|y} and χ=I(Λ:F)_ρ.</w:t>
      </w:r>
    </w:p>
    <w:p w14:paraId="474D4C7C" w14:textId="77777777" w:rsidR="006A62CE" w:rsidRDefault="00000000">
      <w:pPr>
        <w:pStyle w:val="Heading2"/>
      </w:pPr>
      <w:r>
        <w:t>Theorem 5. Exact average identity</w:t>
      </w:r>
    </w:p>
    <w:p w14:paraId="7B7C0916" w14:textId="77777777" w:rsidR="006A62CE" w:rsidRDefault="00000000">
      <w:pPr>
        <w:pStyle w:val="Equation"/>
      </w:pPr>
      <w:r>
        <w:t>Σ_y p_y χ_y - χ = I(Λ:Y|F) - I(Λ:Y).                                 (7)</w:t>
      </w:r>
    </w:p>
    <w:p w14:paraId="60757B3D" w14:textId="77777777" w:rsidR="006A62CE" w:rsidRDefault="00000000">
      <w:r>
        <w:t>Proof. Because Y is classical, I(Λ:F|Y)=Σ_y p_y I(Λ:F)_{ρ|y}=Σ_y p_yχ_y. The two chain-rule expansions</w:t>
      </w:r>
    </w:p>
    <w:p w14:paraId="1605C2E2" w14:textId="77777777" w:rsidR="006A62CE" w:rsidRDefault="00000000">
      <w:pPr>
        <w:pStyle w:val="Equation"/>
      </w:pPr>
      <w:r>
        <w:t>I(Λ:FY)=I(Λ:Y)+I(Λ:F|Y)=I(Λ:F)+I(Λ:Y|F)</w:t>
      </w:r>
    </w:p>
    <w:p w14:paraId="761204E8" w14:textId="77777777" w:rsidR="006A62CE" w:rsidRDefault="00000000">
      <w:r>
        <w:t>imply Eq. (7) after rearrangement. □</w:t>
      </w:r>
    </w:p>
    <w:p w14:paraId="2C5329F3" w14:textId="77777777" w:rsidR="006A62CE" w:rsidRDefault="00000000">
      <w:pPr>
        <w:pStyle w:val="Heading2"/>
      </w:pPr>
      <w:r>
        <w:t>Theorem 6. Average and selected-outcome bounds</w:t>
      </w:r>
    </w:p>
    <w:p w14:paraId="0D7D17E3" w14:textId="77777777" w:rsidR="006A62CE" w:rsidRDefault="00000000">
      <w:pPr>
        <w:pStyle w:val="Equation"/>
      </w:pPr>
      <w:r>
        <w:t>Σ_y p_y(χ_y-χ) ≤ I(Λ:T|F),                                            (8)</w:t>
      </w:r>
    </w:p>
    <w:p w14:paraId="130A1351" w14:textId="77777777" w:rsidR="006A62CE" w:rsidRDefault="00000000">
      <w:pPr>
        <w:pStyle w:val="Equation"/>
      </w:pPr>
      <w:r>
        <w:t>p_y(χ_y-χ) ≤ I(Λ:T|F) + (1-p_y)χ.                                    (9)</w:t>
      </w:r>
    </w:p>
    <w:p w14:paraId="0493D894" w14:textId="77777777" w:rsidR="006A62CE" w:rsidRDefault="00000000">
      <w:r>
        <w:t>Proof. The measurement channel T→Y and conditional data processing give I(Λ:Y|F)≤I(Λ:T|F). Since I(Λ:Y)≥0, Eq. (7) yields Eq. (8). For a chosen y, write the average deviation as p_y(χ_y-χ)+Σ_{z≠y}p_z(χ_z-χ). Because χ_z≥0, every complementary deviation is at least -χ, and hence Σ_{z≠y}p_z(χ_z-χ)≥-(1-p_y)χ. Combining this lower bound with Eq. (8) gives Eq. (9). Thus postselection redistributes fragment information; a favorable outcome must be reported with its probability and complementary outcomes. □</w:t>
      </w:r>
    </w:p>
    <w:p w14:paraId="36E86A8D" w14:textId="77777777" w:rsidR="006A62CE" w:rsidRDefault="00000000">
      <w:pPr>
        <w:pStyle w:val="Heading1"/>
      </w:pPr>
      <w:r>
        <w:t>VI. Exact equal-prior decision neutrality</w:t>
      </w:r>
    </w:p>
    <w:p w14:paraId="0D4C7353" w14:textId="77777777" w:rsidR="006A62CE" w:rsidRDefault="00000000">
      <w:r>
        <w:t>This section treats the exact binary decision task. For equal priors, let Δ_AB=ρ^{AB}_{E₂|0}-ρ^{AB}_{E₂|1}, Δ_BA=ρ^{BA}_{E₂|0}-ρ^{BA}_{E₂|1}, and Δ_coh=ρ^{coh}_{TE₂|0}-ρ^{coh}_{TE₂|1}. The fixed-order operators are 2×2 Hermitian matrices on E₂; the coherent operator is a 4×4 Hermitian matrix on T⊗E₂. We evaluate them in the ordered bases {|0&gt;,|1&gt;} and {|0_T0_E₂&gt;,|0_T1_E₂&gt;,|1_T0_E₂&gt;,|1_T1_E₂&gt;}.</w:t>
      </w:r>
    </w:p>
    <w:p w14:paraId="48F0F14C" w14:textId="77777777" w:rsidR="006A62CE" w:rsidRDefault="00000000">
      <w:r>
        <w:t>For the declared binary record model, the symbolic certificate constructs the physical-basis operators and verifies a unitary reduction to the following spectral normal forms. Let s=sin(α_B/2)cosθ. There exist unitaries V_AB, V_BA, and V_coh such that</w:t>
      </w:r>
    </w:p>
    <w:p w14:paraId="5E65C8A6" w14:textId="77777777" w:rsidR="006A62CE" w:rsidRDefault="00000000">
      <w:pPr>
        <w:pStyle w:val="Equation"/>
      </w:pPr>
      <w:r>
        <w:t>V_AB Δ_AB V_AB† = diag(s,-s),   V_BA Δ_BA V_BA† = diag(s,-s),</w:t>
      </w:r>
    </w:p>
    <w:p w14:paraId="01CF728F" w14:textId="77777777" w:rsidR="006A62CE" w:rsidRDefault="00000000">
      <w:pPr>
        <w:pStyle w:val="Equation"/>
      </w:pPr>
      <w:r>
        <w:t>V_coh Δ_coh V_coh† = diag(s,-s,0,0).</w:t>
      </w:r>
    </w:p>
    <w:p w14:paraId="0E6A7ACB" w14:textId="77777777" w:rsidR="006A62CE" w:rsidRDefault="00000000">
      <w:r>
        <w:t>These displayed matrices are the exact reduced normal forms, not assumed representatives. The archived symbolic calculation verifies coefficient by coefficient that p_coh(λ)-λ²p_AB(λ)=0 and p_coh(λ)-λ²p_BA(λ)=0 under the trigonometric normalization identities. Consequently,</w:t>
      </w:r>
    </w:p>
    <w:p w14:paraId="25F582FC" w14:textId="77777777" w:rsidR="006A62CE" w:rsidRDefault="00000000">
      <w:pPr>
        <w:pStyle w:val="Equation"/>
      </w:pPr>
      <w:r>
        <w:t>p_fix(λ)=det(λI-Δ_AB)=det(λI-Δ_BA)=λ²-sin²(α_B/2)cos²θ.          (10)</w:t>
      </w:r>
    </w:p>
    <w:p w14:paraId="56AEC1BB" w14:textId="77777777" w:rsidR="006A62CE" w:rsidRDefault="00000000">
      <w:r>
        <w:t>The coherent matrix has rank two. Elementary block reduction or a symbolic determinant expansion yields</w:t>
      </w:r>
    </w:p>
    <w:p w14:paraId="094B0804" w14:textId="77777777" w:rsidR="006A62CE" w:rsidRDefault="00000000">
      <w:pPr>
        <w:pStyle w:val="Equation"/>
      </w:pPr>
      <w:r>
        <w:t>p_coh(λ)=det(λI-Δ_coh)=λ²[λ²-sin²(α_B/2)cos²θ].                    (11)</w:t>
      </w:r>
    </w:p>
    <w:p w14:paraId="1E7F3634" w14:textId="77777777" w:rsidR="006A62CE" w:rsidRDefault="00000000">
      <w:r>
        <w:t>Thus Δ_coh adds two null directions and has the same nonzero eigenvalues ±|sin(α_B/2)cosθ| as either fixed order. The equality holds for arbitrary mismatch θ and arbitrary interaction strengths α_A and α_B within the model. The absence of α_A reflects the fact that, for this marginal binary decision observable, the first record interaction changes the embedding but not the two nonzero singular values. Therefore</w:t>
      </w:r>
    </w:p>
    <w:p w14:paraId="114F3DF0" w14:textId="77777777" w:rsidR="006A62CE" w:rsidRDefault="00000000">
      <w:pPr>
        <w:pStyle w:val="Equation"/>
      </w:pPr>
      <w:r>
        <w:t>||Δ_coh||₁=||Δ_AB||₁=||Δ_BA||₁=2|sin(α_B/2)cosθ|,                       (12)</w:t>
      </w:r>
    </w:p>
    <w:p w14:paraId="2807D9E2" w14:textId="77777777" w:rsidR="006A62CE" w:rsidRDefault="00000000">
      <w:pPr>
        <w:pStyle w:val="Equation"/>
      </w:pPr>
      <w:r>
        <w:t>P_H=1/2+1/4||Δ||₁=1/2+1/2|sin(α_B/2)cosθ|.                           (13)</w:t>
      </w:r>
    </w:p>
    <w:p w14:paraId="503E87B2" w14:textId="77777777" w:rsidR="006A62CE" w:rsidRDefault="00000000">
      <w:r>
        <w:lastRenderedPageBreak/>
        <w:t>This equality is not a generic statement that coherent order is useless. Holevo information depends on the spectra of the individual conditional states and their average, not only on the binary trace norm. Biased priors replace Δ by π₀ρ₀-π₁ρ₁, introducing a noncanceling common-state term; consequently the factorization in Eq. (11) need not hold. The result is therefore an exact, task-specific no-advantage theorem.</w:t>
      </w:r>
    </w:p>
    <w:p w14:paraId="09E89447" w14:textId="77777777" w:rsidR="006A62CE" w:rsidRDefault="00000000">
      <w:pPr>
        <w:pStyle w:val="Heading1"/>
      </w:pPr>
      <w:r>
        <w:t>VII. Numerical and operational results</w:t>
      </w:r>
    </w:p>
    <w:p w14:paraId="3A8D2EC0" w14:textId="77777777" w:rsidR="006A62CE" w:rsidRDefault="00000000">
      <w:pPr>
        <w:pStyle w:val="Heading2"/>
      </w:pPr>
      <w:r>
        <w:t>A. Matched-family joint-access capability</w:t>
      </w:r>
    </w:p>
    <w:p w14:paraId="5547561D" w14:textId="77777777" w:rsidR="006A62CE" w:rsidRDefault="00000000">
      <w:r>
        <w:t>For fixed dimensions, initial states, one use of each operation, and comparison with the two fixed orders, the model reaches a joint control-fragment Holevo advantage of 0.0839771759 bit near θ=0.700108 and full record strength. Discarding T removes the cross-order contribution and produces no fragment-only advantage over the corresponding fixed-order family.</w:t>
      </w:r>
    </w:p>
    <w:p w14:paraId="2CBF72A0" w14:textId="77777777" w:rsidR="006A62CE" w:rsidRDefault="00000000">
      <w:pPr>
        <w:jc w:val="center"/>
      </w:pPr>
      <w:r>
        <w:rPr>
          <w:b/>
          <w:sz w:val="18"/>
        </w:rPr>
        <w:t>Table IV. Verified benchmark claims carried into the main text.</w:t>
      </w:r>
    </w:p>
    <w:tbl>
      <w:tblPr>
        <w:tblStyle w:val="TableGrid"/>
        <w:tblW w:w="0" w:type="auto"/>
        <w:jc w:val="center"/>
        <w:tblLook w:val="04A0" w:firstRow="1" w:lastRow="0" w:firstColumn="1" w:lastColumn="0" w:noHBand="0" w:noVBand="1"/>
      </w:tblPr>
      <w:tblGrid>
        <w:gridCol w:w="2469"/>
        <w:gridCol w:w="2469"/>
        <w:gridCol w:w="2469"/>
        <w:gridCol w:w="2469"/>
      </w:tblGrid>
      <w:tr w:rsidR="006A62CE" w14:paraId="1E5F14D1" w14:textId="77777777">
        <w:trPr>
          <w:jc w:val="center"/>
        </w:trPr>
        <w:tc>
          <w:tcPr>
            <w:tcW w:w="2469" w:type="dxa"/>
            <w:shd w:val="clear" w:color="auto" w:fill="D9EAF7"/>
            <w:tcMar>
              <w:top w:w="80" w:type="dxa"/>
              <w:left w:w="90" w:type="dxa"/>
              <w:bottom w:w="80" w:type="dxa"/>
              <w:right w:w="90" w:type="dxa"/>
            </w:tcMar>
            <w:vAlign w:val="center"/>
          </w:tcPr>
          <w:p w14:paraId="479D20AB" w14:textId="77777777" w:rsidR="006A62CE" w:rsidRDefault="00000000">
            <w:r>
              <w:rPr>
                <w:rFonts w:ascii="Arial" w:hAnsi="Arial"/>
                <w:b/>
                <w:sz w:val="17"/>
              </w:rPr>
              <w:t>Quantity</w:t>
            </w:r>
          </w:p>
        </w:tc>
        <w:tc>
          <w:tcPr>
            <w:tcW w:w="2469" w:type="dxa"/>
            <w:shd w:val="clear" w:color="auto" w:fill="D9EAF7"/>
            <w:tcMar>
              <w:top w:w="80" w:type="dxa"/>
              <w:left w:w="90" w:type="dxa"/>
              <w:bottom w:w="80" w:type="dxa"/>
              <w:right w:w="90" w:type="dxa"/>
            </w:tcMar>
            <w:vAlign w:val="center"/>
          </w:tcPr>
          <w:p w14:paraId="71FB10F7" w14:textId="77777777" w:rsidR="006A62CE" w:rsidRDefault="00000000">
            <w:r>
              <w:rPr>
                <w:rFonts w:ascii="Arial" w:hAnsi="Arial"/>
                <w:b/>
                <w:sz w:val="17"/>
              </w:rPr>
              <w:t>Coherent / joint-access result</w:t>
            </w:r>
          </w:p>
        </w:tc>
        <w:tc>
          <w:tcPr>
            <w:tcW w:w="2469" w:type="dxa"/>
            <w:shd w:val="clear" w:color="auto" w:fill="D9EAF7"/>
            <w:tcMar>
              <w:top w:w="80" w:type="dxa"/>
              <w:left w:w="90" w:type="dxa"/>
              <w:bottom w:w="80" w:type="dxa"/>
              <w:right w:w="90" w:type="dxa"/>
            </w:tcMar>
            <w:vAlign w:val="center"/>
          </w:tcPr>
          <w:p w14:paraId="47C6D38F" w14:textId="77777777" w:rsidR="006A62CE" w:rsidRDefault="00000000">
            <w:r>
              <w:rPr>
                <w:rFonts w:ascii="Arial" w:hAnsi="Arial"/>
                <w:b/>
                <w:sz w:val="17"/>
              </w:rPr>
              <w:t>Matched fixed-order result</w:t>
            </w:r>
          </w:p>
        </w:tc>
        <w:tc>
          <w:tcPr>
            <w:tcW w:w="2469" w:type="dxa"/>
            <w:shd w:val="clear" w:color="auto" w:fill="D9EAF7"/>
            <w:tcMar>
              <w:top w:w="80" w:type="dxa"/>
              <w:left w:w="90" w:type="dxa"/>
              <w:bottom w:w="80" w:type="dxa"/>
              <w:right w:w="90" w:type="dxa"/>
            </w:tcMar>
            <w:vAlign w:val="center"/>
          </w:tcPr>
          <w:p w14:paraId="31AEEA4B" w14:textId="77777777" w:rsidR="006A62CE" w:rsidRDefault="00000000">
            <w:r>
              <w:rPr>
                <w:rFonts w:ascii="Arial" w:hAnsi="Arial"/>
                <w:b/>
                <w:sz w:val="17"/>
              </w:rPr>
              <w:t>Conclusion</w:t>
            </w:r>
          </w:p>
        </w:tc>
      </w:tr>
      <w:tr w:rsidR="006A62CE" w14:paraId="56045093" w14:textId="77777777">
        <w:trPr>
          <w:jc w:val="center"/>
        </w:trPr>
        <w:tc>
          <w:tcPr>
            <w:tcW w:w="2469" w:type="dxa"/>
            <w:tcMar>
              <w:top w:w="75" w:type="dxa"/>
              <w:left w:w="80" w:type="dxa"/>
              <w:bottom w:w="75" w:type="dxa"/>
              <w:right w:w="80" w:type="dxa"/>
            </w:tcMar>
          </w:tcPr>
          <w:p w14:paraId="40AE5A09" w14:textId="77777777" w:rsidR="006A62CE" w:rsidRDefault="00000000">
            <w:r>
              <w:rPr>
                <w:sz w:val="15"/>
              </w:rPr>
              <w:t>Benchmark</w:t>
            </w:r>
          </w:p>
        </w:tc>
        <w:tc>
          <w:tcPr>
            <w:tcW w:w="2469" w:type="dxa"/>
            <w:tcMar>
              <w:top w:w="75" w:type="dxa"/>
              <w:left w:w="80" w:type="dxa"/>
              <w:bottom w:w="75" w:type="dxa"/>
              <w:right w:w="80" w:type="dxa"/>
            </w:tcMar>
          </w:tcPr>
          <w:p w14:paraId="7BC0E960" w14:textId="77777777" w:rsidR="006A62CE" w:rsidRDefault="00000000">
            <w:r>
              <w:rPr>
                <w:sz w:val="15"/>
              </w:rPr>
              <w:t>θ=0.7001079286; α=π; B-family/full-strength comparison</w:t>
            </w:r>
          </w:p>
        </w:tc>
        <w:tc>
          <w:tcPr>
            <w:tcW w:w="2469" w:type="dxa"/>
            <w:tcMar>
              <w:top w:w="75" w:type="dxa"/>
              <w:left w:w="80" w:type="dxa"/>
              <w:bottom w:w="75" w:type="dxa"/>
              <w:right w:w="80" w:type="dxa"/>
            </w:tcMar>
          </w:tcPr>
          <w:p w14:paraId="32C60D79" w14:textId="77777777" w:rsidR="006A62CE" w:rsidRDefault="00000000">
            <w:r>
              <w:rPr>
                <w:sz w:val="15"/>
              </w:rPr>
              <w:t>Same dimensions, states, operation uses, and record resources</w:t>
            </w:r>
          </w:p>
        </w:tc>
        <w:tc>
          <w:tcPr>
            <w:tcW w:w="2469" w:type="dxa"/>
            <w:tcMar>
              <w:top w:w="75" w:type="dxa"/>
              <w:left w:w="80" w:type="dxa"/>
              <w:bottom w:w="75" w:type="dxa"/>
              <w:right w:w="80" w:type="dxa"/>
            </w:tcMar>
          </w:tcPr>
          <w:p w14:paraId="72FFAFB3" w14:textId="77777777" w:rsidR="006A62CE" w:rsidRDefault="00000000">
            <w:r>
              <w:rPr>
                <w:sz w:val="15"/>
              </w:rPr>
              <w:t>Resource-matched family</w:t>
            </w:r>
          </w:p>
        </w:tc>
      </w:tr>
      <w:tr w:rsidR="006A62CE" w14:paraId="5FF8E82F" w14:textId="77777777">
        <w:trPr>
          <w:jc w:val="center"/>
        </w:trPr>
        <w:tc>
          <w:tcPr>
            <w:tcW w:w="2469" w:type="dxa"/>
            <w:tcMar>
              <w:top w:w="75" w:type="dxa"/>
              <w:left w:w="80" w:type="dxa"/>
              <w:bottom w:w="75" w:type="dxa"/>
              <w:right w:w="80" w:type="dxa"/>
            </w:tcMar>
          </w:tcPr>
          <w:p w14:paraId="7E93FCA1" w14:textId="77777777" w:rsidR="006A62CE" w:rsidRDefault="00000000">
            <w:r>
              <w:rPr>
                <w:sz w:val="15"/>
              </w:rPr>
              <w:t>B-only fragment, fixed order</w:t>
            </w:r>
          </w:p>
        </w:tc>
        <w:tc>
          <w:tcPr>
            <w:tcW w:w="2469" w:type="dxa"/>
            <w:tcMar>
              <w:top w:w="75" w:type="dxa"/>
              <w:left w:w="80" w:type="dxa"/>
              <w:bottom w:w="75" w:type="dxa"/>
              <w:right w:w="80" w:type="dxa"/>
            </w:tcMar>
          </w:tcPr>
          <w:p w14:paraId="0E4F958B" w14:textId="77777777" w:rsidR="006A62CE" w:rsidRDefault="00000000">
            <w:r>
              <w:rPr>
                <w:sz w:val="15"/>
              </w:rPr>
              <w:t>0.477538 bit</w:t>
            </w:r>
          </w:p>
        </w:tc>
        <w:tc>
          <w:tcPr>
            <w:tcW w:w="2469" w:type="dxa"/>
            <w:tcMar>
              <w:top w:w="75" w:type="dxa"/>
              <w:left w:w="80" w:type="dxa"/>
              <w:bottom w:w="75" w:type="dxa"/>
              <w:right w:w="80" w:type="dxa"/>
            </w:tcMar>
          </w:tcPr>
          <w:p w14:paraId="1E289C16" w14:textId="77777777" w:rsidR="006A62CE" w:rsidRDefault="00000000">
            <w:r>
              <w:rPr>
                <w:sz w:val="15"/>
              </w:rPr>
              <w:t>AB and BA equal for this composition</w:t>
            </w:r>
          </w:p>
        </w:tc>
        <w:tc>
          <w:tcPr>
            <w:tcW w:w="2469" w:type="dxa"/>
            <w:tcMar>
              <w:top w:w="75" w:type="dxa"/>
              <w:left w:w="80" w:type="dxa"/>
              <w:bottom w:w="75" w:type="dxa"/>
              <w:right w:w="80" w:type="dxa"/>
            </w:tcMar>
          </w:tcPr>
          <w:p w14:paraId="16F8C060" w14:textId="77777777" w:rsidR="006A62CE" w:rsidRDefault="00000000">
            <w:r>
              <w:rPr>
                <w:sz w:val="15"/>
              </w:rPr>
              <w:t>Reference value</w:t>
            </w:r>
          </w:p>
        </w:tc>
      </w:tr>
      <w:tr w:rsidR="006A62CE" w14:paraId="3CA91BF3" w14:textId="77777777">
        <w:trPr>
          <w:jc w:val="center"/>
        </w:trPr>
        <w:tc>
          <w:tcPr>
            <w:tcW w:w="2469" w:type="dxa"/>
            <w:tcMar>
              <w:top w:w="75" w:type="dxa"/>
              <w:left w:w="80" w:type="dxa"/>
              <w:bottom w:w="75" w:type="dxa"/>
              <w:right w:w="80" w:type="dxa"/>
            </w:tcMar>
          </w:tcPr>
          <w:p w14:paraId="6AF02D96" w14:textId="77777777" w:rsidR="006A62CE" w:rsidRDefault="00000000">
            <w:r>
              <w:rPr>
                <w:sz w:val="15"/>
              </w:rPr>
              <w:t>Joint T+B fragments, 1-3 records</w:t>
            </w:r>
          </w:p>
        </w:tc>
        <w:tc>
          <w:tcPr>
            <w:tcW w:w="2469" w:type="dxa"/>
            <w:tcMar>
              <w:top w:w="75" w:type="dxa"/>
              <w:left w:w="80" w:type="dxa"/>
              <w:bottom w:w="75" w:type="dxa"/>
              <w:right w:w="80" w:type="dxa"/>
            </w:tcMar>
          </w:tcPr>
          <w:p w14:paraId="1B11BD85" w14:textId="77777777" w:rsidR="006A62CE" w:rsidRDefault="00000000">
            <w:r>
              <w:rPr>
                <w:sz w:val="15"/>
              </w:rPr>
              <w:t>0.557230 bit</w:t>
            </w:r>
          </w:p>
        </w:tc>
        <w:tc>
          <w:tcPr>
            <w:tcW w:w="2469" w:type="dxa"/>
            <w:tcMar>
              <w:top w:w="75" w:type="dxa"/>
              <w:left w:w="80" w:type="dxa"/>
              <w:bottom w:w="75" w:type="dxa"/>
              <w:right w:w="80" w:type="dxa"/>
            </w:tcMar>
          </w:tcPr>
          <w:p w14:paraId="12A04BB2" w14:textId="77777777" w:rsidR="006A62CE" w:rsidRDefault="00000000">
            <w:r>
              <w:rPr>
                <w:sz w:val="15"/>
              </w:rPr>
              <w:t>0.477538 bit</w:t>
            </w:r>
          </w:p>
        </w:tc>
        <w:tc>
          <w:tcPr>
            <w:tcW w:w="2469" w:type="dxa"/>
            <w:tcMar>
              <w:top w:w="75" w:type="dxa"/>
              <w:left w:w="80" w:type="dxa"/>
              <w:bottom w:w="75" w:type="dxa"/>
              <w:right w:w="80" w:type="dxa"/>
            </w:tcMar>
          </w:tcPr>
          <w:p w14:paraId="2A849DDE" w14:textId="77777777" w:rsidR="006A62CE" w:rsidRDefault="00000000">
            <w:r>
              <w:rPr>
                <w:sz w:val="15"/>
              </w:rPr>
              <w:t>Advantage 0.079692 bit</w:t>
            </w:r>
          </w:p>
        </w:tc>
      </w:tr>
      <w:tr w:rsidR="006A62CE" w14:paraId="45671023" w14:textId="77777777">
        <w:trPr>
          <w:jc w:val="center"/>
        </w:trPr>
        <w:tc>
          <w:tcPr>
            <w:tcW w:w="2469" w:type="dxa"/>
            <w:tcMar>
              <w:top w:w="75" w:type="dxa"/>
              <w:left w:w="80" w:type="dxa"/>
              <w:bottom w:w="75" w:type="dxa"/>
              <w:right w:w="80" w:type="dxa"/>
            </w:tcMar>
          </w:tcPr>
          <w:p w14:paraId="3EA20C00" w14:textId="77777777" w:rsidR="006A62CE" w:rsidRDefault="00000000">
            <w:r>
              <w:rPr>
                <w:sz w:val="15"/>
              </w:rPr>
              <w:t>Joint T+all four B records</w:t>
            </w:r>
          </w:p>
        </w:tc>
        <w:tc>
          <w:tcPr>
            <w:tcW w:w="2469" w:type="dxa"/>
            <w:tcMar>
              <w:top w:w="75" w:type="dxa"/>
              <w:left w:w="80" w:type="dxa"/>
              <w:bottom w:w="75" w:type="dxa"/>
              <w:right w:w="80" w:type="dxa"/>
            </w:tcMar>
          </w:tcPr>
          <w:p w14:paraId="69B323DB" w14:textId="77777777" w:rsidR="006A62CE" w:rsidRDefault="00000000">
            <w:r>
              <w:rPr>
                <w:sz w:val="15"/>
              </w:rPr>
              <w:t>0.561515 bit</w:t>
            </w:r>
          </w:p>
        </w:tc>
        <w:tc>
          <w:tcPr>
            <w:tcW w:w="2469" w:type="dxa"/>
            <w:tcMar>
              <w:top w:w="75" w:type="dxa"/>
              <w:left w:w="80" w:type="dxa"/>
              <w:bottom w:w="75" w:type="dxa"/>
              <w:right w:w="80" w:type="dxa"/>
            </w:tcMar>
          </w:tcPr>
          <w:p w14:paraId="187369D1" w14:textId="77777777" w:rsidR="006A62CE" w:rsidRDefault="00000000">
            <w:r>
              <w:rPr>
                <w:sz w:val="15"/>
              </w:rPr>
              <w:t>0.477538 bit</w:t>
            </w:r>
          </w:p>
        </w:tc>
        <w:tc>
          <w:tcPr>
            <w:tcW w:w="2469" w:type="dxa"/>
            <w:tcMar>
              <w:top w:w="75" w:type="dxa"/>
              <w:left w:w="80" w:type="dxa"/>
              <w:bottom w:w="75" w:type="dxa"/>
              <w:right w:w="80" w:type="dxa"/>
            </w:tcMar>
          </w:tcPr>
          <w:p w14:paraId="1EAF47ED" w14:textId="77777777" w:rsidR="006A62CE" w:rsidRDefault="00000000">
            <w:r>
              <w:rPr>
                <w:sz w:val="15"/>
              </w:rPr>
              <w:t>Advantage 0.083977 bit</w:t>
            </w:r>
          </w:p>
        </w:tc>
      </w:tr>
      <w:tr w:rsidR="006A62CE" w14:paraId="06D4992B" w14:textId="77777777">
        <w:trPr>
          <w:jc w:val="center"/>
        </w:trPr>
        <w:tc>
          <w:tcPr>
            <w:tcW w:w="2469" w:type="dxa"/>
            <w:tcMar>
              <w:top w:w="75" w:type="dxa"/>
              <w:left w:w="80" w:type="dxa"/>
              <w:bottom w:w="75" w:type="dxa"/>
              <w:right w:w="80" w:type="dxa"/>
            </w:tcMar>
          </w:tcPr>
          <w:p w14:paraId="1DE2DBAB" w14:textId="77777777" w:rsidR="006A62CE" w:rsidRDefault="00000000">
            <w:r>
              <w:rPr>
                <w:sz w:val="15"/>
              </w:rPr>
              <w:t>Environment-only coherent access</w:t>
            </w:r>
          </w:p>
        </w:tc>
        <w:tc>
          <w:tcPr>
            <w:tcW w:w="2469" w:type="dxa"/>
            <w:tcMar>
              <w:top w:w="75" w:type="dxa"/>
              <w:left w:w="80" w:type="dxa"/>
              <w:bottom w:w="75" w:type="dxa"/>
              <w:right w:w="80" w:type="dxa"/>
            </w:tcMar>
          </w:tcPr>
          <w:p w14:paraId="2311F781" w14:textId="77777777" w:rsidR="006A62CE" w:rsidRDefault="00000000">
            <w:r>
              <w:rPr>
                <w:sz w:val="15"/>
              </w:rPr>
              <w:t>No advantage over optimized fixed-order mixture</w:t>
            </w:r>
          </w:p>
        </w:tc>
        <w:tc>
          <w:tcPr>
            <w:tcW w:w="2469" w:type="dxa"/>
            <w:tcMar>
              <w:top w:w="75" w:type="dxa"/>
              <w:left w:w="80" w:type="dxa"/>
              <w:bottom w:w="75" w:type="dxa"/>
              <w:right w:w="80" w:type="dxa"/>
            </w:tcMar>
          </w:tcPr>
          <w:p w14:paraId="0350D52D" w14:textId="77777777" w:rsidR="006A62CE" w:rsidRDefault="00000000">
            <w:r>
              <w:rPr>
                <w:sz w:val="15"/>
              </w:rPr>
              <w:t>Control-inaccessible reduced state is the equal order mixture</w:t>
            </w:r>
          </w:p>
        </w:tc>
        <w:tc>
          <w:tcPr>
            <w:tcW w:w="2469" w:type="dxa"/>
            <w:tcMar>
              <w:top w:w="75" w:type="dxa"/>
              <w:left w:w="80" w:type="dxa"/>
              <w:bottom w:w="75" w:type="dxa"/>
              <w:right w:w="80" w:type="dxa"/>
            </w:tcMar>
          </w:tcPr>
          <w:p w14:paraId="4F0ED37F" w14:textId="77777777" w:rsidR="006A62CE" w:rsidRDefault="00000000">
            <w:r>
              <w:rPr>
                <w:sz w:val="15"/>
              </w:rPr>
              <w:t>No fragment-only gain</w:t>
            </w:r>
          </w:p>
        </w:tc>
      </w:tr>
      <w:tr w:rsidR="006A62CE" w14:paraId="61CD1685" w14:textId="77777777">
        <w:trPr>
          <w:jc w:val="center"/>
        </w:trPr>
        <w:tc>
          <w:tcPr>
            <w:tcW w:w="2469" w:type="dxa"/>
            <w:tcMar>
              <w:top w:w="75" w:type="dxa"/>
              <w:left w:w="80" w:type="dxa"/>
              <w:bottom w:w="75" w:type="dxa"/>
              <w:right w:w="80" w:type="dxa"/>
            </w:tcMar>
          </w:tcPr>
          <w:p w14:paraId="2504AB90" w14:textId="77777777" w:rsidR="006A62CE" w:rsidRDefault="00000000">
            <w:r>
              <w:rPr>
                <w:sz w:val="15"/>
              </w:rPr>
              <w:t>Equal-prior Helstrom</w:t>
            </w:r>
          </w:p>
        </w:tc>
        <w:tc>
          <w:tcPr>
            <w:tcW w:w="2469" w:type="dxa"/>
            <w:tcMar>
              <w:top w:w="75" w:type="dxa"/>
              <w:left w:w="80" w:type="dxa"/>
              <w:bottom w:w="75" w:type="dxa"/>
              <w:right w:w="80" w:type="dxa"/>
            </w:tcMar>
          </w:tcPr>
          <w:p w14:paraId="3F367BD8" w14:textId="77777777" w:rsidR="006A62CE" w:rsidRDefault="00000000">
            <w:r>
              <w:rPr>
                <w:sz w:val="15"/>
              </w:rPr>
              <w:t>P_H=1/2+|sin(α_B/2)cosθ|/2</w:t>
            </w:r>
          </w:p>
        </w:tc>
        <w:tc>
          <w:tcPr>
            <w:tcW w:w="2469" w:type="dxa"/>
            <w:tcMar>
              <w:top w:w="75" w:type="dxa"/>
              <w:left w:w="80" w:type="dxa"/>
              <w:bottom w:w="75" w:type="dxa"/>
              <w:right w:w="80" w:type="dxa"/>
            </w:tcMar>
          </w:tcPr>
          <w:p w14:paraId="2839E0B7" w14:textId="77777777" w:rsidR="006A62CE" w:rsidRDefault="00000000">
            <w:r>
              <w:rPr>
                <w:sz w:val="15"/>
              </w:rPr>
              <w:t>Same expression for AB and BA</w:t>
            </w:r>
          </w:p>
        </w:tc>
        <w:tc>
          <w:tcPr>
            <w:tcW w:w="2469" w:type="dxa"/>
            <w:tcMar>
              <w:top w:w="75" w:type="dxa"/>
              <w:left w:w="80" w:type="dxa"/>
              <w:bottom w:w="75" w:type="dxa"/>
              <w:right w:w="80" w:type="dxa"/>
            </w:tcMar>
          </w:tcPr>
          <w:p w14:paraId="4F6E9EC0" w14:textId="77777777" w:rsidR="006A62CE" w:rsidRDefault="00000000">
            <w:r>
              <w:rPr>
                <w:sz w:val="15"/>
              </w:rPr>
              <w:t>Exact neutrality</w:t>
            </w:r>
          </w:p>
        </w:tc>
      </w:tr>
      <w:tr w:rsidR="006A62CE" w14:paraId="0633D666" w14:textId="77777777">
        <w:trPr>
          <w:jc w:val="center"/>
        </w:trPr>
        <w:tc>
          <w:tcPr>
            <w:tcW w:w="2469" w:type="dxa"/>
            <w:tcMar>
              <w:top w:w="75" w:type="dxa"/>
              <w:left w:w="80" w:type="dxa"/>
              <w:bottom w:w="75" w:type="dxa"/>
              <w:right w:w="80" w:type="dxa"/>
            </w:tcMar>
          </w:tcPr>
          <w:p w14:paraId="13E5E64D" w14:textId="77777777" w:rsidR="006A62CE" w:rsidRDefault="00000000">
            <w:r>
              <w:rPr>
                <w:sz w:val="15"/>
              </w:rPr>
              <w:t>Numerical validation</w:t>
            </w:r>
          </w:p>
        </w:tc>
        <w:tc>
          <w:tcPr>
            <w:tcW w:w="2469" w:type="dxa"/>
            <w:tcMar>
              <w:top w:w="75" w:type="dxa"/>
              <w:left w:w="80" w:type="dxa"/>
              <w:bottom w:w="75" w:type="dxa"/>
              <w:right w:w="80" w:type="dxa"/>
            </w:tcMar>
          </w:tcPr>
          <w:p w14:paraId="75C0E6B8" w14:textId="77777777" w:rsidR="006A62CE" w:rsidRDefault="00000000">
            <w:r>
              <w:t>Gate-level NumPy and Qiskit statevector checks; reduced-normal-form check; finite-shot ideal sampling</w:t>
            </w:r>
          </w:p>
        </w:tc>
        <w:tc>
          <w:tcPr>
            <w:tcW w:w="2469" w:type="dxa"/>
            <w:tcMar>
              <w:top w:w="75" w:type="dxa"/>
              <w:left w:w="80" w:type="dxa"/>
              <w:bottom w:w="75" w:type="dxa"/>
              <w:right w:w="80" w:type="dxa"/>
            </w:tcMar>
          </w:tcPr>
          <w:p w14:paraId="04601D61" w14:textId="77777777" w:rsidR="006A62CE" w:rsidRDefault="00000000">
            <w:r>
              <w:t>Analytic formula and matched fixed-order circuits</w:t>
            </w:r>
          </w:p>
        </w:tc>
        <w:tc>
          <w:tcPr>
            <w:tcW w:w="2469" w:type="dxa"/>
            <w:tcMar>
              <w:top w:w="75" w:type="dxa"/>
              <w:left w:w="80" w:type="dxa"/>
              <w:bottom w:w="75" w:type="dxa"/>
              <w:right w:w="80" w:type="dxa"/>
            </w:tcMar>
          </w:tcPr>
          <w:p w14:paraId="7653C184" w14:textId="77777777" w:rsidR="006A62CE" w:rsidRDefault="00000000">
            <w:r>
              <w:t>Computational validation; no physical-device measurements</w:t>
            </w:r>
          </w:p>
        </w:tc>
      </w:tr>
    </w:tbl>
    <w:p w14:paraId="0DB4BAD5" w14:textId="77777777" w:rsidR="006A62CE" w:rsidRDefault="006A62CE">
      <w:pPr>
        <w:spacing w:after="20"/>
      </w:pPr>
    </w:p>
    <w:p w14:paraId="6970448F" w14:textId="77777777" w:rsidR="006A62CE" w:rsidRDefault="00000000">
      <w:r>
        <w:t>Relation to communication-power results. Zhao et al. show that coherently controlled order can enhance one-shot classical-message transmission in their communication framework, while also identifying asymptotic limits relative to shared entanglement [22]. The present task is different: it concerns environmental record access and binary discrimination. Here coherent order increases joint Holevo information in a matched family but leaves equal-prior Helstrom performance exactly unchanged and does not improve fragment-only redundancy in the tested class. The results are complementary and support the conclusion that coherent-order advantages depend on the operational task, comparator, and accessible systems.</w:t>
      </w:r>
    </w:p>
    <w:p w14:paraId="13031139" w14:textId="77777777" w:rsidR="006A62CE" w:rsidRDefault="00000000">
      <w:pPr>
        <w:pStyle w:val="Heading2"/>
      </w:pPr>
      <w:r>
        <w:t>B. Many-fragment objectivity</w:t>
      </w:r>
    </w:p>
    <w:p w14:paraId="77B86110" w14:textId="77777777" w:rsidR="006A62CE" w:rsidRDefault="00000000">
      <w:r>
        <w:t>Complete subset enumeration through eight records and mismatch-dependent surfaces for N=2,4,6 show no coherent fragment-only redundancy advantage over the better fixed order under either mean-fragment or worst-fragment 0.9-bit thresholds. Repeated perfect records form GHZ-type repetition encodings: proper nonempty subfragments lose the family coherence and saturate at the one-record ensemble. The complete-family control-assisted bonus remains bounded, so the bonus per record vanishes asymptotically.</w:t>
      </w:r>
    </w:p>
    <w:p w14:paraId="7770AD34" w14:textId="77777777" w:rsidR="006A62CE" w:rsidRDefault="00000000">
      <w:pPr>
        <w:jc w:val="center"/>
      </w:pPr>
      <w:r>
        <w:rPr>
          <w:b/>
          <w:sz w:val="18"/>
        </w:rPr>
        <w:t>Table V. Many-fragment conclusions. Numerical arrays remain in the reproducibility package.</w:t>
      </w:r>
    </w:p>
    <w:tbl>
      <w:tblPr>
        <w:tblStyle w:val="TableGrid"/>
        <w:tblW w:w="0" w:type="auto"/>
        <w:jc w:val="center"/>
        <w:tblLook w:val="04A0" w:firstRow="1" w:lastRow="0" w:firstColumn="1" w:lastColumn="0" w:noHBand="0" w:noVBand="1"/>
      </w:tblPr>
      <w:tblGrid>
        <w:gridCol w:w="2469"/>
        <w:gridCol w:w="2469"/>
        <w:gridCol w:w="2469"/>
        <w:gridCol w:w="2469"/>
      </w:tblGrid>
      <w:tr w:rsidR="006A62CE" w14:paraId="7952828D" w14:textId="77777777">
        <w:trPr>
          <w:jc w:val="center"/>
        </w:trPr>
        <w:tc>
          <w:tcPr>
            <w:tcW w:w="2469" w:type="dxa"/>
            <w:shd w:val="clear" w:color="auto" w:fill="D9EAF7"/>
            <w:tcMar>
              <w:top w:w="80" w:type="dxa"/>
              <w:left w:w="90" w:type="dxa"/>
              <w:bottom w:w="80" w:type="dxa"/>
              <w:right w:w="90" w:type="dxa"/>
            </w:tcMar>
            <w:vAlign w:val="center"/>
          </w:tcPr>
          <w:p w14:paraId="38B1909D" w14:textId="77777777" w:rsidR="006A62CE" w:rsidRDefault="00000000">
            <w:r>
              <w:lastRenderedPageBreak/>
              <w:t>Domain</w:t>
            </w:r>
          </w:p>
        </w:tc>
        <w:tc>
          <w:tcPr>
            <w:tcW w:w="2469" w:type="dxa"/>
            <w:shd w:val="clear" w:color="auto" w:fill="D9EAF7"/>
            <w:tcMar>
              <w:top w:w="80" w:type="dxa"/>
              <w:left w:w="90" w:type="dxa"/>
              <w:bottom w:w="80" w:type="dxa"/>
              <w:right w:w="90" w:type="dxa"/>
            </w:tcMar>
            <w:vAlign w:val="center"/>
          </w:tcPr>
          <w:p w14:paraId="0F05A018" w14:textId="77777777" w:rsidR="006A62CE" w:rsidRDefault="00000000">
            <w:r>
              <w:t>Mean-fragment result</w:t>
            </w:r>
          </w:p>
        </w:tc>
        <w:tc>
          <w:tcPr>
            <w:tcW w:w="2469" w:type="dxa"/>
            <w:shd w:val="clear" w:color="auto" w:fill="D9EAF7"/>
            <w:tcMar>
              <w:top w:w="80" w:type="dxa"/>
              <w:left w:w="90" w:type="dxa"/>
              <w:bottom w:w="80" w:type="dxa"/>
              <w:right w:w="90" w:type="dxa"/>
            </w:tcMar>
            <w:vAlign w:val="center"/>
          </w:tcPr>
          <w:p w14:paraId="65DB7004" w14:textId="77777777" w:rsidR="006A62CE" w:rsidRDefault="00000000">
            <w:r>
              <w:t>Worst/global result</w:t>
            </w:r>
          </w:p>
        </w:tc>
        <w:tc>
          <w:tcPr>
            <w:tcW w:w="2469" w:type="dxa"/>
            <w:shd w:val="clear" w:color="auto" w:fill="D9EAF7"/>
            <w:tcMar>
              <w:top w:w="80" w:type="dxa"/>
              <w:left w:w="90" w:type="dxa"/>
              <w:bottom w:w="80" w:type="dxa"/>
              <w:right w:w="90" w:type="dxa"/>
            </w:tcMar>
            <w:vAlign w:val="center"/>
          </w:tcPr>
          <w:p w14:paraId="2E65253E" w14:textId="77777777" w:rsidR="006A62CE" w:rsidRDefault="00000000">
            <w:r>
              <w:t>Interpretation</w:t>
            </w:r>
          </w:p>
        </w:tc>
      </w:tr>
      <w:tr w:rsidR="006A62CE" w14:paraId="6C05A8D4" w14:textId="77777777">
        <w:trPr>
          <w:jc w:val="center"/>
        </w:trPr>
        <w:tc>
          <w:tcPr>
            <w:tcW w:w="2469" w:type="dxa"/>
            <w:tcMar>
              <w:top w:w="75" w:type="dxa"/>
              <w:left w:w="80" w:type="dxa"/>
              <w:bottom w:w="75" w:type="dxa"/>
              <w:right w:w="80" w:type="dxa"/>
            </w:tcMar>
          </w:tcPr>
          <w:p w14:paraId="6D6762EA" w14:textId="77777777" w:rsidR="006A62CE" w:rsidRDefault="00000000">
            <w:r>
              <w:rPr>
                <w:sz w:val="15"/>
              </w:rPr>
              <w:t>2,4,6,8</w:t>
            </w:r>
          </w:p>
        </w:tc>
        <w:tc>
          <w:tcPr>
            <w:tcW w:w="2469" w:type="dxa"/>
            <w:tcMar>
              <w:top w:w="75" w:type="dxa"/>
              <w:left w:w="80" w:type="dxa"/>
              <w:bottom w:w="75" w:type="dxa"/>
              <w:right w:w="80" w:type="dxa"/>
            </w:tcMar>
          </w:tcPr>
          <w:p w14:paraId="324AA96A" w14:textId="77777777" w:rsidR="006A62CE" w:rsidRDefault="00000000">
            <w:r>
              <w:rPr>
                <w:sz w:val="15"/>
              </w:rPr>
              <w:t>Complete subset enumeration at five mismatch values</w:t>
            </w:r>
          </w:p>
        </w:tc>
        <w:tc>
          <w:tcPr>
            <w:tcW w:w="2469" w:type="dxa"/>
            <w:tcMar>
              <w:top w:w="75" w:type="dxa"/>
              <w:left w:w="80" w:type="dxa"/>
              <w:bottom w:w="75" w:type="dxa"/>
              <w:right w:w="80" w:type="dxa"/>
            </w:tcMar>
          </w:tcPr>
          <w:p w14:paraId="75520B77" w14:textId="77777777" w:rsidR="006A62CE" w:rsidRDefault="00000000">
            <w:r>
              <w:rPr>
                <w:sz w:val="15"/>
              </w:rPr>
              <w:t>No coherent fragment-only improvement over best fixed order</w:t>
            </w:r>
          </w:p>
        </w:tc>
        <w:tc>
          <w:tcPr>
            <w:tcW w:w="2469" w:type="dxa"/>
            <w:tcMar>
              <w:top w:w="75" w:type="dxa"/>
              <w:left w:w="80" w:type="dxa"/>
              <w:bottom w:w="75" w:type="dxa"/>
              <w:right w:w="80" w:type="dxa"/>
            </w:tcMar>
          </w:tcPr>
          <w:p w14:paraId="678ECAC4" w14:textId="77777777" w:rsidR="006A62CE" w:rsidRDefault="00000000">
            <w:r>
              <w:rPr>
                <w:sz w:val="15"/>
              </w:rPr>
              <w:t>No coherent fragment-only improvement over best fixed order</w:t>
            </w:r>
          </w:p>
        </w:tc>
      </w:tr>
      <w:tr w:rsidR="006A62CE" w14:paraId="3901091F" w14:textId="77777777">
        <w:trPr>
          <w:jc w:val="center"/>
        </w:trPr>
        <w:tc>
          <w:tcPr>
            <w:tcW w:w="2469" w:type="dxa"/>
            <w:tcMar>
              <w:top w:w="75" w:type="dxa"/>
              <w:left w:w="80" w:type="dxa"/>
              <w:bottom w:w="75" w:type="dxa"/>
              <w:right w:w="80" w:type="dxa"/>
            </w:tcMar>
          </w:tcPr>
          <w:p w14:paraId="302AAEE0" w14:textId="77777777" w:rsidR="006A62CE" w:rsidRDefault="00000000">
            <w:r>
              <w:rPr>
                <w:sz w:val="15"/>
              </w:rPr>
              <w:t>8 at θ=0.7001079286</w:t>
            </w:r>
          </w:p>
        </w:tc>
        <w:tc>
          <w:tcPr>
            <w:tcW w:w="2469" w:type="dxa"/>
            <w:tcMar>
              <w:top w:w="75" w:type="dxa"/>
              <w:left w:w="80" w:type="dxa"/>
              <w:bottom w:w="75" w:type="dxa"/>
              <w:right w:w="80" w:type="dxa"/>
            </w:tcMar>
          </w:tcPr>
          <w:p w14:paraId="7083838A" w14:textId="77777777" w:rsidR="006A62CE" w:rsidRDefault="00000000">
            <w:r>
              <w:rPr>
                <w:sz w:val="15"/>
              </w:rPr>
              <w:t>Best fixed: mδ=3, Rδ≈2.67</w:t>
            </w:r>
          </w:p>
        </w:tc>
        <w:tc>
          <w:tcPr>
            <w:tcW w:w="2469" w:type="dxa"/>
            <w:tcMar>
              <w:top w:w="75" w:type="dxa"/>
              <w:left w:w="80" w:type="dxa"/>
              <w:bottom w:w="75" w:type="dxa"/>
              <w:right w:w="80" w:type="dxa"/>
            </w:tcMar>
          </w:tcPr>
          <w:p w14:paraId="005A3FDF" w14:textId="77777777" w:rsidR="006A62CE" w:rsidRDefault="00000000">
            <w:r>
              <w:rPr>
                <w:sz w:val="15"/>
              </w:rPr>
              <w:t>Best fixed: mδ=5, Rδ=1.6</w:t>
            </w:r>
          </w:p>
        </w:tc>
        <w:tc>
          <w:tcPr>
            <w:tcW w:w="2469" w:type="dxa"/>
            <w:tcMar>
              <w:top w:w="75" w:type="dxa"/>
              <w:left w:w="80" w:type="dxa"/>
              <w:bottom w:w="75" w:type="dxa"/>
              <w:right w:w="80" w:type="dxa"/>
            </w:tcMar>
          </w:tcPr>
          <w:p w14:paraId="2150EF82" w14:textId="77777777" w:rsidR="006A62CE" w:rsidRDefault="00000000">
            <w:r>
              <w:rPr>
                <w:sz w:val="15"/>
              </w:rPr>
              <w:t>Coherent fragment-only never reaches 0.9 bit</w:t>
            </w:r>
          </w:p>
        </w:tc>
      </w:tr>
      <w:tr w:rsidR="006A62CE" w14:paraId="35101F3B" w14:textId="77777777">
        <w:trPr>
          <w:jc w:val="center"/>
        </w:trPr>
        <w:tc>
          <w:tcPr>
            <w:tcW w:w="2469" w:type="dxa"/>
            <w:tcMar>
              <w:top w:w="75" w:type="dxa"/>
              <w:left w:w="80" w:type="dxa"/>
              <w:bottom w:w="75" w:type="dxa"/>
              <w:right w:w="80" w:type="dxa"/>
            </w:tcMar>
          </w:tcPr>
          <w:p w14:paraId="77C7C9A4" w14:textId="77777777" w:rsidR="006A62CE" w:rsidRDefault="00000000">
            <w:r>
              <w:rPr>
                <w:sz w:val="15"/>
              </w:rPr>
              <w:t>8, one-record mean</w:t>
            </w:r>
          </w:p>
        </w:tc>
        <w:tc>
          <w:tcPr>
            <w:tcW w:w="2469" w:type="dxa"/>
            <w:tcMar>
              <w:top w:w="75" w:type="dxa"/>
              <w:left w:w="80" w:type="dxa"/>
              <w:bottom w:w="75" w:type="dxa"/>
              <w:right w:w="80" w:type="dxa"/>
            </w:tcMar>
          </w:tcPr>
          <w:p w14:paraId="468FA18C" w14:textId="77777777" w:rsidR="006A62CE" w:rsidRDefault="00000000">
            <w:r>
              <w:rPr>
                <w:sz w:val="15"/>
              </w:rPr>
              <w:t>Best fixed 0.738769 bit</w:t>
            </w:r>
          </w:p>
        </w:tc>
        <w:tc>
          <w:tcPr>
            <w:tcW w:w="2469" w:type="dxa"/>
            <w:tcMar>
              <w:top w:w="75" w:type="dxa"/>
              <w:left w:w="80" w:type="dxa"/>
              <w:bottom w:w="75" w:type="dxa"/>
              <w:right w:w="80" w:type="dxa"/>
            </w:tcMar>
          </w:tcPr>
          <w:p w14:paraId="0F355333" w14:textId="77777777" w:rsidR="006A62CE" w:rsidRDefault="00000000">
            <w:r>
              <w:rPr>
                <w:sz w:val="15"/>
              </w:rPr>
              <w:t>Coherent fragment-only 0.498335 bit</w:t>
            </w:r>
          </w:p>
        </w:tc>
        <w:tc>
          <w:tcPr>
            <w:tcW w:w="2469" w:type="dxa"/>
            <w:tcMar>
              <w:top w:w="75" w:type="dxa"/>
              <w:left w:w="80" w:type="dxa"/>
              <w:bottom w:w="75" w:type="dxa"/>
              <w:right w:w="80" w:type="dxa"/>
            </w:tcMar>
          </w:tcPr>
          <w:p w14:paraId="0BC58F1E" w14:textId="77777777" w:rsidR="006A62CE" w:rsidRDefault="00000000">
            <w:r>
              <w:rPr>
                <w:sz w:val="15"/>
              </w:rPr>
              <w:t>Joint T+fragment mean 0.642540 bit</w:t>
            </w:r>
          </w:p>
        </w:tc>
      </w:tr>
      <w:tr w:rsidR="006A62CE" w14:paraId="6F3FA08D" w14:textId="77777777">
        <w:trPr>
          <w:jc w:val="center"/>
        </w:trPr>
        <w:tc>
          <w:tcPr>
            <w:tcW w:w="2469" w:type="dxa"/>
            <w:tcMar>
              <w:top w:w="75" w:type="dxa"/>
              <w:left w:w="80" w:type="dxa"/>
              <w:bottom w:w="75" w:type="dxa"/>
              <w:right w:w="80" w:type="dxa"/>
            </w:tcMar>
          </w:tcPr>
          <w:p w14:paraId="468AF027" w14:textId="77777777" w:rsidR="006A62CE" w:rsidRDefault="00000000">
            <w:r>
              <w:rPr>
                <w:sz w:val="15"/>
              </w:rPr>
              <w:t>8, full environment</w:t>
            </w:r>
          </w:p>
        </w:tc>
        <w:tc>
          <w:tcPr>
            <w:tcW w:w="2469" w:type="dxa"/>
            <w:tcMar>
              <w:top w:w="75" w:type="dxa"/>
              <w:left w:w="80" w:type="dxa"/>
              <w:bottom w:w="75" w:type="dxa"/>
              <w:right w:w="80" w:type="dxa"/>
            </w:tcMar>
          </w:tcPr>
          <w:p w14:paraId="5B2BDA37" w14:textId="77777777" w:rsidR="006A62CE" w:rsidRDefault="00000000">
            <w:r>
              <w:rPr>
                <w:sz w:val="15"/>
              </w:rPr>
              <w:t>Best fixed reaches 1 bit by size 5</w:t>
            </w:r>
          </w:p>
        </w:tc>
        <w:tc>
          <w:tcPr>
            <w:tcW w:w="2469" w:type="dxa"/>
            <w:tcMar>
              <w:top w:w="75" w:type="dxa"/>
              <w:left w:w="80" w:type="dxa"/>
              <w:bottom w:w="75" w:type="dxa"/>
              <w:right w:w="80" w:type="dxa"/>
            </w:tcMar>
          </w:tcPr>
          <w:p w14:paraId="3C5F45D9" w14:textId="77777777" w:rsidR="006A62CE" w:rsidRDefault="00000000">
            <w:r>
              <w:rPr>
                <w:sz w:val="15"/>
              </w:rPr>
              <w:t>Coherent fragment-only 0.715579 bit</w:t>
            </w:r>
          </w:p>
        </w:tc>
        <w:tc>
          <w:tcPr>
            <w:tcW w:w="2469" w:type="dxa"/>
            <w:tcMar>
              <w:top w:w="75" w:type="dxa"/>
              <w:left w:w="80" w:type="dxa"/>
              <w:bottom w:w="75" w:type="dxa"/>
              <w:right w:w="80" w:type="dxa"/>
            </w:tcMar>
          </w:tcPr>
          <w:p w14:paraId="2E0775D1" w14:textId="77777777" w:rsidR="006A62CE" w:rsidRDefault="00000000">
            <w:r>
              <w:rPr>
                <w:sz w:val="15"/>
              </w:rPr>
              <w:t>Joint T+all records 0.943735 bit; global decoder only</w:t>
            </w:r>
          </w:p>
        </w:tc>
      </w:tr>
    </w:tbl>
    <w:p w14:paraId="76FF21F4" w14:textId="77777777" w:rsidR="006A62CE" w:rsidRDefault="006A62CE">
      <w:pPr>
        <w:spacing w:after="20"/>
      </w:pPr>
    </w:p>
    <w:p w14:paraId="34C67AAA" w14:textId="77777777" w:rsidR="006A62CE" w:rsidRDefault="00000000">
      <w:pPr>
        <w:pStyle w:val="Heading2"/>
      </w:pPr>
      <w:r>
        <w:t>C. Local spectrum-broadcast diagnostics</w:t>
      </w:r>
    </w:p>
    <w:p w14:paraId="3D5C8A53" w14:textId="77777777" w:rsidR="006A62CE" w:rsidRDefault="00000000">
      <w:r>
        <w:t>At the benchmark mismatch, coherent environment-only singleton records remain nonorthogonal and at a finite optimized trace distance from every ideal orthogonal qubit record pair. Conditional total correlations diagnose additional nonproduct structure. These finite diagnostics do not constitute a global minimum distance to the full spectrum-broadcast-state set.</w:t>
      </w:r>
    </w:p>
    <w:p w14:paraId="22335F55" w14:textId="77777777" w:rsidR="006A62CE" w:rsidRDefault="00000000">
      <w:pPr>
        <w:pStyle w:val="Heading2"/>
      </w:pPr>
      <w:r>
        <w:t>D. Noise and phase structure</w:t>
      </w:r>
    </w:p>
    <w:p w14:paraId="27DCF6CE" w14:textId="77777777" w:rsidR="006A62CE" w:rsidRDefault="00000000">
      <w:r>
        <w:t>Control dephasing removes the coherence-sensitive contribution. Partial strengths, reduced-state noise, and collision-level target and record noise leave positive joint-access regions but do not generate a fragment-only redundancy advantage in the declared tests. Robustness is regime specific and is not claimed for arbitrary channels.</w:t>
      </w:r>
    </w:p>
    <w:p w14:paraId="62F4F5C8" w14:textId="77777777" w:rsidR="006A62CE" w:rsidRDefault="00000000">
      <w:pPr>
        <w:pStyle w:val="Heading1"/>
      </w:pPr>
      <w:r>
        <w:t>VIII. Record-augmented causal certification</w:t>
      </w:r>
    </w:p>
    <w:p w14:paraId="6A85D54B" w14:textId="77777777" w:rsidR="006A62CE" w:rsidRDefault="00000000">
      <w:r>
        <w:t>Let P denote the valid finite-dimensional process-matrix space for the declared laboratory interfaces. For the base tripartite switch interface, the Hilbert spaces are ordered A_I,A_O,B_I,B_O,C_I, Charlie has no output, normalized processes have trace 4, and causally separable processes decompose as W_sep=W^(A≺B≺C)+W^(B≺A≺C), with positive semidefinite summands. The A≺B≺C summand satisfies the replacement-map constraints _C W=_{B_O C}W and _{B_I B_O C}W=_{A_O B_I B_O C}W; the opposite order exchanges A and B. Let W_sw∈P be causally nonseparable. Let W_ext append local record outputs E_A,E_B, and define R=D_A⊗D_B⊗id_C, where D_A and D_B are completely positive deterministic local discard maps satisfying R(W_ext)=W_sw. Because deterministic local processing preserves each fixed-order cone and the normalization constraints, R maps the extended causally separable cone into the base causally separable cone.</w:t>
      </w:r>
    </w:p>
    <w:p w14:paraId="2B547DB5" w14:textId="77777777" w:rsidR="006A62CE" w:rsidRDefault="00000000">
      <w:pPr>
        <w:pStyle w:val="Heading2"/>
      </w:pPr>
      <w:r>
        <w:t>Theorem 7. Ancilla stability and witness pullback</w:t>
      </w:r>
    </w:p>
    <w:p w14:paraId="63674BF6" w14:textId="77777777" w:rsidR="006A62CE" w:rsidRDefault="00000000">
      <w:r>
        <w:t>W_ext is causally nonseparable. If S_sw is a causal witness for W_sw, then</w:t>
      </w:r>
    </w:p>
    <w:p w14:paraId="0CDA19F3" w14:textId="77777777" w:rsidR="006A62CE" w:rsidRDefault="00000000">
      <w:pPr>
        <w:pStyle w:val="Equation"/>
      </w:pPr>
      <w:r>
        <w:t>S_ext = R*(S_sw)                                                              (14)</w:t>
      </w:r>
    </w:p>
    <w:p w14:paraId="2622433D" w14:textId="77777777" w:rsidR="006A62CE" w:rsidRDefault="00000000">
      <w:r>
        <w:t>is a causal witness for W_ext. Here R* is the Hilbert-Schmidt (Heisenberg) adjoint, defined by</w:t>
      </w:r>
    </w:p>
    <w:p w14:paraId="0B7A4B56" w14:textId="77777777" w:rsidR="006A62CE" w:rsidRDefault="00000000">
      <w:pPr>
        <w:pStyle w:val="Equation"/>
      </w:pPr>
      <w:r>
        <w:t>Tr[R*(S)W]=Tr[S R(W)]                                                       (15)</w:t>
      </w:r>
    </w:p>
    <w:p w14:paraId="6DA8E35A" w14:textId="77777777" w:rsidR="006A62CE" w:rsidRDefault="00000000">
      <w:r>
        <w:t>for every compatible witness operator S and process W. Linearity of R implies linearity of R*. For every causally separable extended process W_ext^sep, closure under deterministic local operations gives R(W_ext^sep) causally separable; hence</w:t>
      </w:r>
    </w:p>
    <w:p w14:paraId="0326EDFB" w14:textId="77777777" w:rsidR="006A62CE" w:rsidRDefault="00000000">
      <w:pPr>
        <w:pStyle w:val="Equation"/>
      </w:pPr>
      <w:r>
        <w:t>Tr[S_ext W_ext^sep]=Tr[S_sw R(W_ext^sep)]≥0.                                (16)</w:t>
      </w:r>
    </w:p>
    <w:p w14:paraId="07847A72" w14:textId="77777777" w:rsidR="006A62CE" w:rsidRDefault="00000000">
      <w:r>
        <w:t>On the target extension,</w:t>
      </w:r>
    </w:p>
    <w:p w14:paraId="005A2D1B" w14:textId="77777777" w:rsidR="006A62CE" w:rsidRDefault="00000000">
      <w:pPr>
        <w:pStyle w:val="Equation"/>
      </w:pPr>
      <w:r>
        <w:t>Tr(S_ext W_ext)=Tr[S_sw R(W_ext)]=Tr(S_sw W_sw)&lt;0.                          (17)</w:t>
      </w:r>
    </w:p>
    <w:p w14:paraId="1E810612" w14:textId="77777777" w:rsidR="006A62CE" w:rsidRDefault="00000000">
      <w:r>
        <w:lastRenderedPageBreak/>
        <w:t>Therefore S_ext is nonnegative on the separable cone and negative on W_ext. If W_ext itself were causally separable, closure under R would make W_sw causally separable, a contradiction. Thus the extended process remains causally nonseparable. □</w:t>
      </w:r>
    </w:p>
    <w:p w14:paraId="56D29DA2" w14:textId="77777777" w:rsidR="006A62CE" w:rsidRDefault="00000000">
      <w:r>
        <w:t>The causal certificate is independent of the pointer and record certificates. Common-pointer commutators and fragment-state diagnostics establish record behavior; the pulled-back witness establishes causal nonseparability.</w:t>
      </w:r>
    </w:p>
    <w:p w14:paraId="68F640E1" w14:textId="77777777" w:rsidR="006A62CE" w:rsidRDefault="00000000">
      <w:pPr>
        <w:pStyle w:val="Heading1"/>
      </w:pPr>
      <w:r>
        <w:t>IX. Four-qubit validation route</w:t>
      </w:r>
    </w:p>
    <w:p w14:paraId="4A23E4FC" w14:textId="77777777" w:rsidR="006A62CE" w:rsidRDefault="00000000">
      <w:r>
        <w:t>The minimal logical register is T,S,E₁,E₂, with global tensor ordering T⊗S⊗E₁⊗E₂. Exported physical-basis matrices use lexicographic computational-basis order |t,s,e₁,e₂⟩, with t the most significant bit. Fixed AB, fixed BA, coherent-order, dephased-control, and postselected-control arms test equal-prior neutrality, biased-prior activation, coherence loss under dephasing, and the separation between joint T+E₂ recovery and E₂-only records. The evidence is organized into three distinct computational layers.</w:t>
      </w:r>
    </w:p>
    <w:p w14:paraId="5E146AF1" w14:textId="77777777" w:rsidR="006A62CE" w:rsidRDefault="00000000">
      <w:r>
        <w:t>The record-writing gates used in the circuit validation are</w:t>
      </w:r>
    </w:p>
    <w:p w14:paraId="50577FC2" w14:textId="77777777" w:rsidR="006A62CE" w:rsidRDefault="00000000">
      <w:pPr>
        <w:pStyle w:val="Equation"/>
      </w:pPr>
      <w:r>
        <w:t>U_A(α_A)=|0⟩⟨0|_S⊗I_{E₁}+|1⟩⟨1|_S⊗R_y(α_A)_{E₁},                 (18)</w:t>
      </w:r>
    </w:p>
    <w:p w14:paraId="47CD1802" w14:textId="77777777" w:rsidR="006A62CE" w:rsidRDefault="00000000">
      <w:pPr>
        <w:pStyle w:val="Equation"/>
      </w:pPr>
      <w:r>
        <w:t>U_B(θ,α_B)=R_y(-θ)_S[|0⟩⟨0|_S⊗I_{E₂}+|1⟩⟨1|_S⊗R_y(α_B)_{E₂}]R_y(θ)_S.   (19)</w:t>
      </w:r>
    </w:p>
    <w:p w14:paraId="221ED919" w14:textId="77777777" w:rsidR="006A62CE" w:rsidRDefault="00000000">
      <w:r>
        <w:t>Identity operators on systems not displayed in Eqs. (18) and (19) are implicit. These definitions match the archived circuit construction used for the independent gate-level validation.</w:t>
      </w:r>
    </w:p>
    <w:p w14:paraId="147B5BCB" w14:textId="77777777" w:rsidR="006A62CE" w:rsidRDefault="00000000">
      <w:pPr>
        <w:jc w:val="center"/>
      </w:pPr>
      <w:r>
        <w:rPr>
          <w:noProof/>
        </w:rPr>
        <w:drawing>
          <wp:inline distT="0" distB="0" distL="0" distR="0" wp14:anchorId="3687D708" wp14:editId="14511AC9">
            <wp:extent cx="6035040" cy="24326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_qubit_validation_v2.png"/>
                    <pic:cNvPicPr/>
                  </pic:nvPicPr>
                  <pic:blipFill>
                    <a:blip r:embed="rId8"/>
                    <a:stretch>
                      <a:fillRect/>
                    </a:stretch>
                  </pic:blipFill>
                  <pic:spPr>
                    <a:xfrm>
                      <a:off x="0" y="0"/>
                      <a:ext cx="6035040" cy="2432639"/>
                    </a:xfrm>
                    <a:prstGeom prst="rect">
                      <a:avLst/>
                    </a:prstGeom>
                  </pic:spPr>
                </pic:pic>
              </a:graphicData>
            </a:graphic>
          </wp:inline>
        </w:drawing>
      </w:r>
    </w:p>
    <w:p w14:paraId="5B7D27B4" w14:textId="77777777" w:rsidR="006A62CE" w:rsidRDefault="00000000">
      <w:pPr>
        <w:jc w:val="center"/>
      </w:pPr>
      <w:r>
        <w:rPr>
          <w:b/>
          <w:sz w:val="18"/>
        </w:rPr>
        <w:t>Figure 1. Four-qubit circuit and access routes for coherent, dephased, discarded-control, and postselected comparisons. Table VI summarizes the accessible systems and target prediction for each arm.</w:t>
      </w:r>
    </w:p>
    <w:p w14:paraId="6B68FDA1" w14:textId="77777777" w:rsidR="006A62CE" w:rsidRDefault="00000000">
      <w:pPr>
        <w:pStyle w:val="Heading2"/>
      </w:pPr>
      <w:r>
        <w:t>A. Circuit-level statevector validation</w:t>
      </w:r>
    </w:p>
    <w:p w14:paraId="35D6F024" w14:textId="77777777" w:rsidR="006A62CE" w:rsidRDefault="00000000">
      <w:r>
        <w:t>The archived Qiskit implementation constructs U_A(α_A) as a controlled R_y record operation from S to E₁ and U_B(θ,α_B) by rotating S through θ, applying the controlled R_y record operation from S to E₂, and undoing the rotation. Fixed AB and BA circuits and the coherently controlled order act on T,S,E₁,E₂. The existing 51-point Qiskit statevector grid reports a maximum error of 3.33×10^-16 relative to Eq. (13) and a maximum coherent-minus-best-fixed discrepancy of 4.44×10^-16.</w:t>
      </w:r>
    </w:p>
    <w:p w14:paraId="11C7693A" w14:textId="77777777" w:rsidR="006A62CE" w:rsidRDefault="00000000">
      <w:r>
        <w:t>A new NumPy-only gate-level implementation independently constructs the same 16-dimensional circuit matrices, prepares both binary pointer labels, evolves all four qubits, explicitly traces to E₂ or T+E₂, and exports the physical-basis entries of Δ_AB, Δ_BA, and Δ_coh. Across 17 mismatch angles and three strength pairs, the maximum analytic-formula error and coherent-minus-best-fixed discrepancy are both 2.22×10^-16. The Version 5 gate-level calculation targets the equal-prior decision-neutrality theorem. The Holevo benchmark, many-fragment results, collision-noise surfaces, and local spectrum-broadcast diagnostics remain supported by their dedicated archived calculations rather than by this gate-level validation dataset.</w:t>
      </w:r>
    </w:p>
    <w:p w14:paraId="2A1C88E0" w14:textId="77777777" w:rsidR="006A62CE" w:rsidRDefault="00000000">
      <w:pPr>
        <w:pStyle w:val="Heading2"/>
      </w:pPr>
      <w:r>
        <w:lastRenderedPageBreak/>
        <w:t>B. Reduced-normal-form verification</w:t>
      </w:r>
    </w:p>
    <w:p w14:paraId="23BBB2B2" w14:textId="77777777" w:rsidR="006A62CE" w:rsidRDefault="00000000">
      <w:r>
        <w:t>The separate reduced-normal-form script begins from the certified parameter s=sin(α_B/2)cosθ and constructs valid conditional density matrices realizing diag(s,-s) and diag(s,-s,0,0). It verifies the eigenvalues, trace norms, and Helstrom formula on 51 settings. This calculation checks the consequences of the spectral theorem; it is not presented as an independent derivation of the four-qubit circuit spectrum.</w:t>
      </w:r>
    </w:p>
    <w:p w14:paraId="72C32EC7" w14:textId="77777777" w:rsidR="006A62CE" w:rsidRDefault="00000000">
      <w:pPr>
        <w:pStyle w:val="Heading2"/>
      </w:pPr>
      <w:r>
        <w:t>C. Finite-shot ideal sampling</w:t>
      </w:r>
    </w:p>
    <w:p w14:paraId="44E67982" w14:textId="77777777" w:rsidR="006A62CE" w:rsidRDefault="00000000">
      <w:r>
        <w:t>A finite-shot calculation samples the ideal projective probabilities at 99 settings with 8,192 shots per pointer label and fixed seed 20260812. The mean bias is 0.000200, the mean absolute error is 0.002458, and the maximum absolute error is 0.010897. To avoid the boundary undercoverage of the earlier plug-in bootstrap, Version 4 uses Bonferroni simultaneous Clopper-Pearson intervals for the two binomial probabilities and propagates those intervals through |p₀-p₁|. All 99 analytic targets lie inside the resulting intervals in this validation grid; this observed grid coverage is a diagnostic, not a universal coverage claim. The intervals are intentionally conservative, and 100% observed inclusion on this finite grid should not be interpreted as exact nominal calibration.</w:t>
      </w:r>
    </w:p>
    <w:p w14:paraId="58D05BBF" w14:textId="77777777" w:rsidR="006A62CE" w:rsidRDefault="00000000">
      <w:r>
        <w:t>The finite-shot study isolates ideal sampling fluctuations. It does not model gate error, decoherence, readout bias, crosstalk, compilation overhead, or calibration drift.</w:t>
      </w:r>
    </w:p>
    <w:p w14:paraId="4C5CA154" w14:textId="77777777" w:rsidR="006A62CE" w:rsidRDefault="00000000">
      <w:pPr>
        <w:pStyle w:val="Heading2"/>
      </w:pPr>
      <w:r>
        <w:t>D. Machine-readable artifacts</w:t>
      </w:r>
    </w:p>
    <w:p w14:paraId="18A5DF6C" w14:textId="77777777" w:rsidR="006A62CE" w:rsidRDefault="00000000">
      <w:r>
        <w:t>The Version 5 validation set includes gate_level_validation_v4.py, v4_gate_level_validation.csv, v4_finite_shot_validation.csv, v4_interval_noncoverage.csv, v4_validation_summary.json, v4_checksums.sha256, and the updated validation figure. The gate-level CSV contains the physical-basis matrix entries, spectra, trace norms, and Helstrom values for all 51 circuit settings.</w:t>
      </w:r>
    </w:p>
    <w:p w14:paraId="2E78E5C9" w14:textId="77777777" w:rsidR="006A62CE" w:rsidRDefault="00000000">
      <w:pPr>
        <w:jc w:val="center"/>
      </w:pPr>
      <w:r>
        <w:rPr>
          <w:b/>
          <w:sz w:val="18"/>
        </w:rPr>
        <w:t>Table VII. Summary of numerical validation layers.</w:t>
      </w:r>
    </w:p>
    <w:tbl>
      <w:tblPr>
        <w:tblStyle w:val="TableGrid"/>
        <w:tblW w:w="0" w:type="auto"/>
        <w:jc w:val="center"/>
        <w:tblLook w:val="04A0" w:firstRow="1" w:lastRow="0" w:firstColumn="1" w:lastColumn="0" w:noHBand="0" w:noVBand="1"/>
      </w:tblPr>
      <w:tblGrid>
        <w:gridCol w:w="2469"/>
        <w:gridCol w:w="2469"/>
        <w:gridCol w:w="2469"/>
        <w:gridCol w:w="2469"/>
      </w:tblGrid>
      <w:tr w:rsidR="006A62CE" w14:paraId="28A43D0F" w14:textId="77777777">
        <w:trPr>
          <w:jc w:val="center"/>
        </w:trPr>
        <w:tc>
          <w:tcPr>
            <w:tcW w:w="2469" w:type="dxa"/>
            <w:shd w:val="clear" w:color="auto" w:fill="D9EAF7"/>
            <w:tcMar>
              <w:top w:w="80" w:type="dxa"/>
              <w:left w:w="90" w:type="dxa"/>
              <w:bottom w:w="80" w:type="dxa"/>
              <w:right w:w="90" w:type="dxa"/>
            </w:tcMar>
          </w:tcPr>
          <w:p w14:paraId="6F1428A8" w14:textId="77777777" w:rsidR="006A62CE" w:rsidRDefault="00000000">
            <w:r>
              <w:rPr>
                <w:b/>
                <w:sz w:val="16"/>
              </w:rPr>
              <w:t>Validation layer</w:t>
            </w:r>
          </w:p>
        </w:tc>
        <w:tc>
          <w:tcPr>
            <w:tcW w:w="2469" w:type="dxa"/>
            <w:shd w:val="clear" w:color="auto" w:fill="D9EAF7"/>
            <w:tcMar>
              <w:top w:w="80" w:type="dxa"/>
              <w:left w:w="90" w:type="dxa"/>
              <w:bottom w:w="80" w:type="dxa"/>
              <w:right w:w="90" w:type="dxa"/>
            </w:tcMar>
          </w:tcPr>
          <w:p w14:paraId="7368B0A9" w14:textId="77777777" w:rsidR="006A62CE" w:rsidRDefault="00000000">
            <w:r>
              <w:rPr>
                <w:b/>
                <w:sz w:val="16"/>
              </w:rPr>
              <w:t>Settings</w:t>
            </w:r>
          </w:p>
        </w:tc>
        <w:tc>
          <w:tcPr>
            <w:tcW w:w="2469" w:type="dxa"/>
            <w:shd w:val="clear" w:color="auto" w:fill="D9EAF7"/>
            <w:tcMar>
              <w:top w:w="80" w:type="dxa"/>
              <w:left w:w="90" w:type="dxa"/>
              <w:bottom w:w="80" w:type="dxa"/>
              <w:right w:w="90" w:type="dxa"/>
            </w:tcMar>
          </w:tcPr>
          <w:p w14:paraId="124E3883" w14:textId="77777777" w:rsidR="006A62CE" w:rsidRDefault="00000000">
            <w:r>
              <w:rPr>
                <w:b/>
                <w:sz w:val="16"/>
              </w:rPr>
              <w:t>Primary quantity</w:t>
            </w:r>
          </w:p>
        </w:tc>
        <w:tc>
          <w:tcPr>
            <w:tcW w:w="2469" w:type="dxa"/>
            <w:shd w:val="clear" w:color="auto" w:fill="D9EAF7"/>
            <w:tcMar>
              <w:top w:w="80" w:type="dxa"/>
              <w:left w:w="90" w:type="dxa"/>
              <w:bottom w:w="80" w:type="dxa"/>
              <w:right w:w="90" w:type="dxa"/>
            </w:tcMar>
          </w:tcPr>
          <w:p w14:paraId="5DDAA978" w14:textId="77777777" w:rsidR="006A62CE" w:rsidRDefault="00000000">
            <w:r>
              <w:rPr>
                <w:b/>
                <w:sz w:val="16"/>
              </w:rPr>
              <w:t>Maximum discrepancy / error</w:t>
            </w:r>
          </w:p>
        </w:tc>
      </w:tr>
      <w:tr w:rsidR="006A62CE" w14:paraId="64BCB77D" w14:textId="77777777">
        <w:trPr>
          <w:jc w:val="center"/>
        </w:trPr>
        <w:tc>
          <w:tcPr>
            <w:tcW w:w="2469" w:type="dxa"/>
            <w:tcMar>
              <w:top w:w="80" w:type="dxa"/>
              <w:left w:w="90" w:type="dxa"/>
              <w:bottom w:w="80" w:type="dxa"/>
              <w:right w:w="90" w:type="dxa"/>
            </w:tcMar>
          </w:tcPr>
          <w:p w14:paraId="3FC72178" w14:textId="77777777" w:rsidR="006A62CE" w:rsidRDefault="00000000">
            <w:pPr>
              <w:spacing w:after="0"/>
            </w:pPr>
            <w:r>
              <w:rPr>
                <w:sz w:val="16"/>
              </w:rPr>
              <w:t>Qiskit statevector</w:t>
            </w:r>
          </w:p>
        </w:tc>
        <w:tc>
          <w:tcPr>
            <w:tcW w:w="2469" w:type="dxa"/>
            <w:tcMar>
              <w:top w:w="80" w:type="dxa"/>
              <w:left w:w="90" w:type="dxa"/>
              <w:bottom w:w="80" w:type="dxa"/>
              <w:right w:w="90" w:type="dxa"/>
            </w:tcMar>
          </w:tcPr>
          <w:p w14:paraId="555BDB33" w14:textId="77777777" w:rsidR="006A62CE" w:rsidRDefault="00000000">
            <w:pPr>
              <w:spacing w:after="0"/>
            </w:pPr>
            <w:r>
              <w:rPr>
                <w:sz w:val="16"/>
              </w:rPr>
              <w:t>51</w:t>
            </w:r>
          </w:p>
        </w:tc>
        <w:tc>
          <w:tcPr>
            <w:tcW w:w="2469" w:type="dxa"/>
            <w:tcMar>
              <w:top w:w="80" w:type="dxa"/>
              <w:left w:w="90" w:type="dxa"/>
              <w:bottom w:w="80" w:type="dxa"/>
              <w:right w:w="90" w:type="dxa"/>
            </w:tcMar>
          </w:tcPr>
          <w:p w14:paraId="3FF50EDE" w14:textId="77777777" w:rsidR="006A62CE" w:rsidRDefault="00000000">
            <w:pPr>
              <w:spacing w:after="0"/>
            </w:pPr>
            <w:r>
              <w:rPr>
                <w:sz w:val="16"/>
              </w:rPr>
              <w:t>Helstrom formula</w:t>
            </w:r>
          </w:p>
        </w:tc>
        <w:tc>
          <w:tcPr>
            <w:tcW w:w="2469" w:type="dxa"/>
            <w:tcMar>
              <w:top w:w="80" w:type="dxa"/>
              <w:left w:w="90" w:type="dxa"/>
              <w:bottom w:w="80" w:type="dxa"/>
              <w:right w:w="90" w:type="dxa"/>
            </w:tcMar>
          </w:tcPr>
          <w:p w14:paraId="37481E3C" w14:textId="77777777" w:rsidR="006A62CE" w:rsidRDefault="00000000">
            <w:pPr>
              <w:spacing w:after="0"/>
            </w:pPr>
            <w:r>
              <w:rPr>
                <w:sz w:val="16"/>
              </w:rPr>
              <w:t>3.33×10^-16</w:t>
            </w:r>
          </w:p>
        </w:tc>
      </w:tr>
      <w:tr w:rsidR="006A62CE" w14:paraId="5263CA94" w14:textId="77777777">
        <w:trPr>
          <w:jc w:val="center"/>
        </w:trPr>
        <w:tc>
          <w:tcPr>
            <w:tcW w:w="2469" w:type="dxa"/>
            <w:tcMar>
              <w:top w:w="80" w:type="dxa"/>
              <w:left w:w="90" w:type="dxa"/>
              <w:bottom w:w="80" w:type="dxa"/>
              <w:right w:w="90" w:type="dxa"/>
            </w:tcMar>
          </w:tcPr>
          <w:p w14:paraId="36D8327E" w14:textId="77777777" w:rsidR="006A62CE" w:rsidRDefault="00000000">
            <w:pPr>
              <w:spacing w:after="0"/>
            </w:pPr>
            <w:r>
              <w:rPr>
                <w:sz w:val="16"/>
              </w:rPr>
              <w:t>NumPy gate level</w:t>
            </w:r>
          </w:p>
        </w:tc>
        <w:tc>
          <w:tcPr>
            <w:tcW w:w="2469" w:type="dxa"/>
            <w:tcMar>
              <w:top w:w="80" w:type="dxa"/>
              <w:left w:w="90" w:type="dxa"/>
              <w:bottom w:w="80" w:type="dxa"/>
              <w:right w:w="90" w:type="dxa"/>
            </w:tcMar>
          </w:tcPr>
          <w:p w14:paraId="1F15DDD2" w14:textId="77777777" w:rsidR="006A62CE" w:rsidRDefault="00000000">
            <w:pPr>
              <w:spacing w:after="0"/>
            </w:pPr>
            <w:r>
              <w:rPr>
                <w:sz w:val="16"/>
              </w:rPr>
              <w:t>51</w:t>
            </w:r>
          </w:p>
        </w:tc>
        <w:tc>
          <w:tcPr>
            <w:tcW w:w="2469" w:type="dxa"/>
            <w:tcMar>
              <w:top w:w="80" w:type="dxa"/>
              <w:left w:w="90" w:type="dxa"/>
              <w:bottom w:w="80" w:type="dxa"/>
              <w:right w:w="90" w:type="dxa"/>
            </w:tcMar>
          </w:tcPr>
          <w:p w14:paraId="24EB9729" w14:textId="77777777" w:rsidR="006A62CE" w:rsidRDefault="00000000">
            <w:pPr>
              <w:spacing w:after="0"/>
            </w:pPr>
            <w:r>
              <w:rPr>
                <w:sz w:val="16"/>
              </w:rPr>
              <w:t>Helstrom formula and physical-basis matrices</w:t>
            </w:r>
          </w:p>
        </w:tc>
        <w:tc>
          <w:tcPr>
            <w:tcW w:w="2469" w:type="dxa"/>
            <w:tcMar>
              <w:top w:w="80" w:type="dxa"/>
              <w:left w:w="90" w:type="dxa"/>
              <w:bottom w:w="80" w:type="dxa"/>
              <w:right w:w="90" w:type="dxa"/>
            </w:tcMar>
          </w:tcPr>
          <w:p w14:paraId="7D12B983" w14:textId="77777777" w:rsidR="006A62CE" w:rsidRDefault="00000000">
            <w:pPr>
              <w:spacing w:after="0"/>
            </w:pPr>
            <w:r>
              <w:rPr>
                <w:sz w:val="16"/>
              </w:rPr>
              <w:t>2.22×10^-16</w:t>
            </w:r>
          </w:p>
        </w:tc>
      </w:tr>
      <w:tr w:rsidR="006A62CE" w14:paraId="65644930" w14:textId="77777777">
        <w:trPr>
          <w:jc w:val="center"/>
        </w:trPr>
        <w:tc>
          <w:tcPr>
            <w:tcW w:w="2469" w:type="dxa"/>
            <w:tcMar>
              <w:top w:w="80" w:type="dxa"/>
              <w:left w:w="90" w:type="dxa"/>
              <w:bottom w:w="80" w:type="dxa"/>
              <w:right w:w="90" w:type="dxa"/>
            </w:tcMar>
          </w:tcPr>
          <w:p w14:paraId="595F707F" w14:textId="77777777" w:rsidR="006A62CE" w:rsidRDefault="00000000">
            <w:pPr>
              <w:spacing w:after="0"/>
            </w:pPr>
            <w:r>
              <w:rPr>
                <w:sz w:val="16"/>
              </w:rPr>
              <w:t>Reduced normal form</w:t>
            </w:r>
          </w:p>
        </w:tc>
        <w:tc>
          <w:tcPr>
            <w:tcW w:w="2469" w:type="dxa"/>
            <w:tcMar>
              <w:top w:w="80" w:type="dxa"/>
              <w:left w:w="90" w:type="dxa"/>
              <w:bottom w:w="80" w:type="dxa"/>
              <w:right w:w="90" w:type="dxa"/>
            </w:tcMar>
          </w:tcPr>
          <w:p w14:paraId="3D6BA515" w14:textId="77777777" w:rsidR="006A62CE" w:rsidRDefault="00000000">
            <w:pPr>
              <w:spacing w:after="0"/>
            </w:pPr>
            <w:r>
              <w:rPr>
                <w:sz w:val="16"/>
              </w:rPr>
              <w:t>51</w:t>
            </w:r>
          </w:p>
        </w:tc>
        <w:tc>
          <w:tcPr>
            <w:tcW w:w="2469" w:type="dxa"/>
            <w:tcMar>
              <w:top w:w="80" w:type="dxa"/>
              <w:left w:w="90" w:type="dxa"/>
              <w:bottom w:w="80" w:type="dxa"/>
              <w:right w:w="90" w:type="dxa"/>
            </w:tcMar>
          </w:tcPr>
          <w:p w14:paraId="65A8F483" w14:textId="77777777" w:rsidR="006A62CE" w:rsidRDefault="00000000">
            <w:pPr>
              <w:spacing w:after="0"/>
            </w:pPr>
            <w:r>
              <w:rPr>
                <w:sz w:val="16"/>
              </w:rPr>
              <w:t>Spectral consequence</w:t>
            </w:r>
          </w:p>
        </w:tc>
        <w:tc>
          <w:tcPr>
            <w:tcW w:w="2469" w:type="dxa"/>
            <w:tcMar>
              <w:top w:w="80" w:type="dxa"/>
              <w:left w:w="90" w:type="dxa"/>
              <w:bottom w:w="80" w:type="dxa"/>
              <w:right w:w="90" w:type="dxa"/>
            </w:tcMar>
          </w:tcPr>
          <w:p w14:paraId="1DB93649" w14:textId="77777777" w:rsidR="006A62CE" w:rsidRDefault="00000000">
            <w:pPr>
              <w:spacing w:after="0"/>
            </w:pPr>
            <w:r>
              <w:rPr>
                <w:sz w:val="16"/>
              </w:rPr>
              <w:t>0 in stored double precision</w:t>
            </w:r>
          </w:p>
        </w:tc>
      </w:tr>
      <w:tr w:rsidR="006A62CE" w14:paraId="1C4F691A" w14:textId="77777777">
        <w:trPr>
          <w:jc w:val="center"/>
        </w:trPr>
        <w:tc>
          <w:tcPr>
            <w:tcW w:w="2469" w:type="dxa"/>
            <w:tcMar>
              <w:top w:w="80" w:type="dxa"/>
              <w:left w:w="90" w:type="dxa"/>
              <w:bottom w:w="80" w:type="dxa"/>
              <w:right w:w="90" w:type="dxa"/>
            </w:tcMar>
          </w:tcPr>
          <w:p w14:paraId="535898E4" w14:textId="77777777" w:rsidR="006A62CE" w:rsidRDefault="00000000">
            <w:pPr>
              <w:spacing w:after="0"/>
            </w:pPr>
            <w:r>
              <w:rPr>
                <w:sz w:val="16"/>
              </w:rPr>
              <w:t>Finite-shot ideal sampling</w:t>
            </w:r>
          </w:p>
        </w:tc>
        <w:tc>
          <w:tcPr>
            <w:tcW w:w="2469" w:type="dxa"/>
            <w:tcMar>
              <w:top w:w="80" w:type="dxa"/>
              <w:left w:w="90" w:type="dxa"/>
              <w:bottom w:w="80" w:type="dxa"/>
              <w:right w:w="90" w:type="dxa"/>
            </w:tcMar>
          </w:tcPr>
          <w:p w14:paraId="08EE5699" w14:textId="77777777" w:rsidR="006A62CE" w:rsidRDefault="00000000">
            <w:pPr>
              <w:spacing w:after="0"/>
            </w:pPr>
            <w:r>
              <w:rPr>
                <w:sz w:val="16"/>
              </w:rPr>
              <w:t>99</w:t>
            </w:r>
          </w:p>
        </w:tc>
        <w:tc>
          <w:tcPr>
            <w:tcW w:w="2469" w:type="dxa"/>
            <w:tcMar>
              <w:top w:w="80" w:type="dxa"/>
              <w:left w:w="90" w:type="dxa"/>
              <w:bottom w:w="80" w:type="dxa"/>
              <w:right w:w="90" w:type="dxa"/>
            </w:tcMar>
          </w:tcPr>
          <w:p w14:paraId="3A7CD10C" w14:textId="77777777" w:rsidR="006A62CE" w:rsidRDefault="00000000">
            <w:pPr>
              <w:spacing w:after="0"/>
            </w:pPr>
            <w:r>
              <w:rPr>
                <w:sz w:val="16"/>
              </w:rPr>
              <w:t>Helstrom estimate</w:t>
            </w:r>
          </w:p>
        </w:tc>
        <w:tc>
          <w:tcPr>
            <w:tcW w:w="2469" w:type="dxa"/>
            <w:tcMar>
              <w:top w:w="80" w:type="dxa"/>
              <w:left w:w="90" w:type="dxa"/>
              <w:bottom w:w="80" w:type="dxa"/>
              <w:right w:w="90" w:type="dxa"/>
            </w:tcMar>
          </w:tcPr>
          <w:p w14:paraId="616C8C4E" w14:textId="77777777" w:rsidR="006A62CE" w:rsidRDefault="00000000">
            <w:pPr>
              <w:spacing w:after="0"/>
            </w:pPr>
            <w:r>
              <w:rPr>
                <w:sz w:val="16"/>
              </w:rPr>
              <w:t>0.010897 maximum absolute error</w:t>
            </w:r>
          </w:p>
        </w:tc>
      </w:tr>
    </w:tbl>
    <w:p w14:paraId="2D7FB8FA" w14:textId="77777777" w:rsidR="006A62CE" w:rsidRDefault="00000000">
      <w:pPr>
        <w:jc w:val="center"/>
      </w:pPr>
      <w:r>
        <w:rPr>
          <w:noProof/>
        </w:rPr>
        <w:drawing>
          <wp:inline distT="0" distB="0" distL="0" distR="0" wp14:anchorId="067D5270" wp14:editId="10D035C2">
            <wp:extent cx="6035040" cy="22848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lassical_validation.png"/>
                    <pic:cNvPicPr/>
                  </pic:nvPicPr>
                  <pic:blipFill>
                    <a:blip r:embed="rId9"/>
                    <a:stretch>
                      <a:fillRect/>
                    </a:stretch>
                  </pic:blipFill>
                  <pic:spPr>
                    <a:xfrm>
                      <a:off x="0" y="0"/>
                      <a:ext cx="6035040" cy="2284836"/>
                    </a:xfrm>
                    <a:prstGeom prst="rect">
                      <a:avLst/>
                    </a:prstGeom>
                  </pic:spPr>
                </pic:pic>
              </a:graphicData>
            </a:graphic>
          </wp:inline>
        </w:drawing>
      </w:r>
    </w:p>
    <w:p w14:paraId="17E820F2" w14:textId="77777777" w:rsidR="006A62CE" w:rsidRDefault="00000000">
      <w:pPr>
        <w:jc w:val="center"/>
      </w:pPr>
      <w:r>
        <w:t>Figure 2. Gate-level and finite-shot validation. Curves show the analytic prediction; representative error bars are simultaneous Clopper-Pearson intervals. The right panel displays finite-shot bias across 99 ideal-sampling settings. Each setting uses 8,192 shots per pointer label. The vertical guide marks θ=π/2, where the analytic contrast vanishes. Table VII compares all four numerical-validation layers.</w:t>
      </w:r>
    </w:p>
    <w:p w14:paraId="3F449A63" w14:textId="77777777" w:rsidR="006A62CE" w:rsidRDefault="00000000">
      <w:pPr>
        <w:jc w:val="center"/>
      </w:pPr>
      <w:r>
        <w:rPr>
          <w:b/>
          <w:sz w:val="18"/>
        </w:rPr>
        <w:t>Table VI. Validation arms, accessible systems, and target predictions.</w:t>
      </w:r>
    </w:p>
    <w:tbl>
      <w:tblPr>
        <w:tblStyle w:val="TableGrid"/>
        <w:tblW w:w="0" w:type="auto"/>
        <w:jc w:val="center"/>
        <w:tblLook w:val="04A0" w:firstRow="1" w:lastRow="0" w:firstColumn="1" w:lastColumn="0" w:noHBand="0" w:noVBand="1"/>
      </w:tblPr>
      <w:tblGrid>
        <w:gridCol w:w="3293"/>
        <w:gridCol w:w="3293"/>
        <w:gridCol w:w="3293"/>
      </w:tblGrid>
      <w:tr w:rsidR="006A62CE" w14:paraId="67DECA19" w14:textId="77777777">
        <w:trPr>
          <w:jc w:val="center"/>
        </w:trPr>
        <w:tc>
          <w:tcPr>
            <w:tcW w:w="3293" w:type="dxa"/>
            <w:shd w:val="clear" w:color="auto" w:fill="D9EAF7"/>
            <w:tcMar>
              <w:top w:w="80" w:type="dxa"/>
              <w:left w:w="90" w:type="dxa"/>
              <w:bottom w:w="80" w:type="dxa"/>
              <w:right w:w="90" w:type="dxa"/>
            </w:tcMar>
            <w:vAlign w:val="center"/>
          </w:tcPr>
          <w:p w14:paraId="45E3A3D4" w14:textId="77777777" w:rsidR="006A62CE" w:rsidRDefault="00000000">
            <w:r>
              <w:rPr>
                <w:rFonts w:ascii="Arial" w:hAnsi="Arial"/>
                <w:b/>
                <w:sz w:val="17"/>
              </w:rPr>
              <w:lastRenderedPageBreak/>
              <w:t>Arm</w:t>
            </w:r>
          </w:p>
        </w:tc>
        <w:tc>
          <w:tcPr>
            <w:tcW w:w="3293" w:type="dxa"/>
            <w:shd w:val="clear" w:color="auto" w:fill="D9EAF7"/>
            <w:tcMar>
              <w:top w:w="80" w:type="dxa"/>
              <w:left w:w="90" w:type="dxa"/>
              <w:bottom w:w="80" w:type="dxa"/>
              <w:right w:w="90" w:type="dxa"/>
            </w:tcMar>
            <w:vAlign w:val="center"/>
          </w:tcPr>
          <w:p w14:paraId="4910CA04" w14:textId="77777777" w:rsidR="006A62CE" w:rsidRDefault="00000000">
            <w:r>
              <w:rPr>
                <w:rFonts w:ascii="Arial" w:hAnsi="Arial"/>
                <w:b/>
                <w:sz w:val="17"/>
              </w:rPr>
              <w:t>Accessible systems</w:t>
            </w:r>
          </w:p>
        </w:tc>
        <w:tc>
          <w:tcPr>
            <w:tcW w:w="3293" w:type="dxa"/>
            <w:shd w:val="clear" w:color="auto" w:fill="D9EAF7"/>
            <w:tcMar>
              <w:top w:w="80" w:type="dxa"/>
              <w:left w:w="90" w:type="dxa"/>
              <w:bottom w:w="80" w:type="dxa"/>
              <w:right w:w="90" w:type="dxa"/>
            </w:tcMar>
            <w:vAlign w:val="center"/>
          </w:tcPr>
          <w:p w14:paraId="2422D8AA" w14:textId="77777777" w:rsidR="006A62CE" w:rsidRDefault="00000000">
            <w:r>
              <w:rPr>
                <w:rFonts w:ascii="Arial" w:hAnsi="Arial"/>
                <w:b/>
                <w:sz w:val="17"/>
              </w:rPr>
              <w:t>Primary test</w:t>
            </w:r>
          </w:p>
        </w:tc>
      </w:tr>
      <w:tr w:rsidR="006A62CE" w14:paraId="2432423B" w14:textId="77777777">
        <w:trPr>
          <w:jc w:val="center"/>
        </w:trPr>
        <w:tc>
          <w:tcPr>
            <w:tcW w:w="3293" w:type="dxa"/>
            <w:tcMar>
              <w:top w:w="80" w:type="dxa"/>
              <w:left w:w="90" w:type="dxa"/>
              <w:bottom w:w="80" w:type="dxa"/>
              <w:right w:w="90" w:type="dxa"/>
            </w:tcMar>
            <w:vAlign w:val="center"/>
          </w:tcPr>
          <w:p w14:paraId="68FC00D7" w14:textId="77777777" w:rsidR="006A62CE" w:rsidRDefault="00000000">
            <w:pPr>
              <w:spacing w:after="0"/>
            </w:pPr>
            <w:r>
              <w:rPr>
                <w:sz w:val="16"/>
              </w:rPr>
              <w:t>Fixed AB / BA</w:t>
            </w:r>
          </w:p>
        </w:tc>
        <w:tc>
          <w:tcPr>
            <w:tcW w:w="3293" w:type="dxa"/>
            <w:tcMar>
              <w:top w:w="80" w:type="dxa"/>
              <w:left w:w="90" w:type="dxa"/>
              <w:bottom w:w="80" w:type="dxa"/>
              <w:right w:w="90" w:type="dxa"/>
            </w:tcMar>
            <w:vAlign w:val="center"/>
          </w:tcPr>
          <w:p w14:paraId="26B91731" w14:textId="77777777" w:rsidR="006A62CE" w:rsidRDefault="00000000">
            <w:pPr>
              <w:spacing w:after="0"/>
            </w:pPr>
            <w:r>
              <w:rPr>
                <w:sz w:val="16"/>
              </w:rPr>
              <w:t>E₂ or declared fragment</w:t>
            </w:r>
          </w:p>
        </w:tc>
        <w:tc>
          <w:tcPr>
            <w:tcW w:w="3293" w:type="dxa"/>
            <w:tcMar>
              <w:top w:w="80" w:type="dxa"/>
              <w:left w:w="90" w:type="dxa"/>
              <w:bottom w:w="80" w:type="dxa"/>
              <w:right w:w="90" w:type="dxa"/>
            </w:tcMar>
            <w:vAlign w:val="center"/>
          </w:tcPr>
          <w:p w14:paraId="25BB7989" w14:textId="77777777" w:rsidR="006A62CE" w:rsidRDefault="00000000">
            <w:pPr>
              <w:spacing w:after="0"/>
            </w:pPr>
            <w:r>
              <w:rPr>
                <w:sz w:val="16"/>
              </w:rPr>
              <w:t>Matched fixed-order baseline</w:t>
            </w:r>
          </w:p>
        </w:tc>
      </w:tr>
      <w:tr w:rsidR="006A62CE" w14:paraId="24E0F3B1" w14:textId="77777777">
        <w:trPr>
          <w:jc w:val="center"/>
        </w:trPr>
        <w:tc>
          <w:tcPr>
            <w:tcW w:w="3293" w:type="dxa"/>
            <w:tcMar>
              <w:top w:w="80" w:type="dxa"/>
              <w:left w:w="90" w:type="dxa"/>
              <w:bottom w:w="80" w:type="dxa"/>
              <w:right w:w="90" w:type="dxa"/>
            </w:tcMar>
            <w:vAlign w:val="center"/>
          </w:tcPr>
          <w:p w14:paraId="37239385" w14:textId="77777777" w:rsidR="006A62CE" w:rsidRDefault="00000000">
            <w:pPr>
              <w:spacing w:after="0"/>
            </w:pPr>
            <w:r>
              <w:rPr>
                <w:sz w:val="16"/>
              </w:rPr>
              <w:t>Coherent control</w:t>
            </w:r>
          </w:p>
        </w:tc>
        <w:tc>
          <w:tcPr>
            <w:tcW w:w="3293" w:type="dxa"/>
            <w:tcMar>
              <w:top w:w="80" w:type="dxa"/>
              <w:left w:w="90" w:type="dxa"/>
              <w:bottom w:w="80" w:type="dxa"/>
              <w:right w:w="90" w:type="dxa"/>
            </w:tcMar>
            <w:vAlign w:val="center"/>
          </w:tcPr>
          <w:p w14:paraId="6ADF3718" w14:textId="77777777" w:rsidR="006A62CE" w:rsidRDefault="00000000">
            <w:pPr>
              <w:spacing w:after="0"/>
            </w:pPr>
            <w:r>
              <w:rPr>
                <w:sz w:val="16"/>
              </w:rPr>
              <w:t>T+E₂</w:t>
            </w:r>
          </w:p>
        </w:tc>
        <w:tc>
          <w:tcPr>
            <w:tcW w:w="3293" w:type="dxa"/>
            <w:tcMar>
              <w:top w:w="80" w:type="dxa"/>
              <w:left w:w="90" w:type="dxa"/>
              <w:bottom w:w="80" w:type="dxa"/>
              <w:right w:w="90" w:type="dxa"/>
            </w:tcMar>
            <w:vAlign w:val="center"/>
          </w:tcPr>
          <w:p w14:paraId="1051957F" w14:textId="77777777" w:rsidR="006A62CE" w:rsidRDefault="00000000">
            <w:pPr>
              <w:spacing w:after="0"/>
            </w:pPr>
            <w:r>
              <w:rPr>
                <w:sz w:val="16"/>
              </w:rPr>
              <w:t>Joint-access Holevo contribution and Helstrom neutrality</w:t>
            </w:r>
          </w:p>
        </w:tc>
      </w:tr>
      <w:tr w:rsidR="006A62CE" w14:paraId="484EB386" w14:textId="77777777">
        <w:trPr>
          <w:jc w:val="center"/>
        </w:trPr>
        <w:tc>
          <w:tcPr>
            <w:tcW w:w="3293" w:type="dxa"/>
            <w:tcMar>
              <w:top w:w="80" w:type="dxa"/>
              <w:left w:w="90" w:type="dxa"/>
              <w:bottom w:w="80" w:type="dxa"/>
              <w:right w:w="90" w:type="dxa"/>
            </w:tcMar>
            <w:vAlign w:val="center"/>
          </w:tcPr>
          <w:p w14:paraId="64F19CDF" w14:textId="77777777" w:rsidR="006A62CE" w:rsidRDefault="00000000">
            <w:pPr>
              <w:spacing w:after="0"/>
            </w:pPr>
            <w:r>
              <w:rPr>
                <w:sz w:val="16"/>
              </w:rPr>
              <w:t>Dephased control</w:t>
            </w:r>
          </w:p>
        </w:tc>
        <w:tc>
          <w:tcPr>
            <w:tcW w:w="3293" w:type="dxa"/>
            <w:tcMar>
              <w:top w:w="80" w:type="dxa"/>
              <w:left w:w="90" w:type="dxa"/>
              <w:bottom w:w="80" w:type="dxa"/>
              <w:right w:w="90" w:type="dxa"/>
            </w:tcMar>
            <w:vAlign w:val="center"/>
          </w:tcPr>
          <w:p w14:paraId="241C1378" w14:textId="77777777" w:rsidR="006A62CE" w:rsidRDefault="00000000">
            <w:pPr>
              <w:spacing w:after="0"/>
            </w:pPr>
            <w:r>
              <w:rPr>
                <w:sz w:val="16"/>
              </w:rPr>
              <w:t>T+E₂ after D_T</w:t>
            </w:r>
          </w:p>
        </w:tc>
        <w:tc>
          <w:tcPr>
            <w:tcW w:w="3293" w:type="dxa"/>
            <w:tcMar>
              <w:top w:w="80" w:type="dxa"/>
              <w:left w:w="90" w:type="dxa"/>
              <w:bottom w:w="80" w:type="dxa"/>
              <w:right w:w="90" w:type="dxa"/>
            </w:tcMar>
            <w:vAlign w:val="center"/>
          </w:tcPr>
          <w:p w14:paraId="6423B11E" w14:textId="77777777" w:rsidR="006A62CE" w:rsidRDefault="00000000">
            <w:pPr>
              <w:spacing w:after="0"/>
            </w:pPr>
            <w:r>
              <w:rPr>
                <w:sz w:val="16"/>
              </w:rPr>
              <w:t>Removal of coherence-sensitive term</w:t>
            </w:r>
          </w:p>
        </w:tc>
      </w:tr>
      <w:tr w:rsidR="006A62CE" w14:paraId="5EF374E4" w14:textId="77777777">
        <w:trPr>
          <w:jc w:val="center"/>
        </w:trPr>
        <w:tc>
          <w:tcPr>
            <w:tcW w:w="3293" w:type="dxa"/>
            <w:tcMar>
              <w:top w:w="80" w:type="dxa"/>
              <w:left w:w="90" w:type="dxa"/>
              <w:bottom w:w="80" w:type="dxa"/>
              <w:right w:w="90" w:type="dxa"/>
            </w:tcMar>
            <w:vAlign w:val="center"/>
          </w:tcPr>
          <w:p w14:paraId="0E49FD8A" w14:textId="77777777" w:rsidR="006A62CE" w:rsidRDefault="00000000">
            <w:pPr>
              <w:spacing w:after="0"/>
            </w:pPr>
            <w:r>
              <w:rPr>
                <w:sz w:val="16"/>
              </w:rPr>
              <w:t>Control discarded</w:t>
            </w:r>
          </w:p>
        </w:tc>
        <w:tc>
          <w:tcPr>
            <w:tcW w:w="3293" w:type="dxa"/>
            <w:tcMar>
              <w:top w:w="80" w:type="dxa"/>
              <w:left w:w="90" w:type="dxa"/>
              <w:bottom w:w="80" w:type="dxa"/>
              <w:right w:w="90" w:type="dxa"/>
            </w:tcMar>
            <w:vAlign w:val="center"/>
          </w:tcPr>
          <w:p w14:paraId="47905326" w14:textId="77777777" w:rsidR="006A62CE" w:rsidRDefault="00000000">
            <w:pPr>
              <w:spacing w:after="0"/>
            </w:pPr>
            <w:r>
              <w:rPr>
                <w:sz w:val="16"/>
              </w:rPr>
              <w:t>E₂ only</w:t>
            </w:r>
          </w:p>
        </w:tc>
        <w:tc>
          <w:tcPr>
            <w:tcW w:w="3293" w:type="dxa"/>
            <w:tcMar>
              <w:top w:w="80" w:type="dxa"/>
              <w:left w:w="90" w:type="dxa"/>
              <w:bottom w:w="80" w:type="dxa"/>
              <w:right w:w="90" w:type="dxa"/>
            </w:tcMar>
            <w:vAlign w:val="center"/>
          </w:tcPr>
          <w:p w14:paraId="06D2C59B" w14:textId="77777777" w:rsidR="006A62CE" w:rsidRDefault="00000000">
            <w:pPr>
              <w:spacing w:after="0"/>
            </w:pPr>
            <w:r>
              <w:rPr>
                <w:sz w:val="16"/>
              </w:rPr>
              <w:t>Environment-only comparison</w:t>
            </w:r>
          </w:p>
        </w:tc>
      </w:tr>
      <w:tr w:rsidR="006A62CE" w14:paraId="47D2A317" w14:textId="77777777">
        <w:trPr>
          <w:jc w:val="center"/>
        </w:trPr>
        <w:tc>
          <w:tcPr>
            <w:tcW w:w="3293" w:type="dxa"/>
            <w:tcMar>
              <w:top w:w="80" w:type="dxa"/>
              <w:left w:w="90" w:type="dxa"/>
              <w:bottom w:w="80" w:type="dxa"/>
              <w:right w:w="90" w:type="dxa"/>
            </w:tcMar>
            <w:vAlign w:val="center"/>
          </w:tcPr>
          <w:p w14:paraId="3CD847C3" w14:textId="77777777" w:rsidR="006A62CE" w:rsidRDefault="00000000">
            <w:pPr>
              <w:spacing w:after="0"/>
            </w:pPr>
            <w:r>
              <w:rPr>
                <w:sz w:val="16"/>
              </w:rPr>
              <w:t>Postselected control</w:t>
            </w:r>
          </w:p>
        </w:tc>
        <w:tc>
          <w:tcPr>
            <w:tcW w:w="3293" w:type="dxa"/>
            <w:tcMar>
              <w:top w:w="80" w:type="dxa"/>
              <w:left w:w="90" w:type="dxa"/>
              <w:bottom w:w="80" w:type="dxa"/>
              <w:right w:w="90" w:type="dxa"/>
            </w:tcMar>
            <w:vAlign w:val="center"/>
          </w:tcPr>
          <w:p w14:paraId="5045E41F" w14:textId="77777777" w:rsidR="006A62CE" w:rsidRDefault="00000000">
            <w:pPr>
              <w:spacing w:after="0"/>
            </w:pPr>
            <w:r>
              <w:rPr>
                <w:sz w:val="16"/>
              </w:rPr>
              <w:t>Outcome Y and E₂</w:t>
            </w:r>
          </w:p>
        </w:tc>
        <w:tc>
          <w:tcPr>
            <w:tcW w:w="3293" w:type="dxa"/>
            <w:tcMar>
              <w:top w:w="80" w:type="dxa"/>
              <w:left w:w="90" w:type="dxa"/>
              <w:bottom w:w="80" w:type="dxa"/>
              <w:right w:w="90" w:type="dxa"/>
            </w:tcMar>
            <w:vAlign w:val="center"/>
          </w:tcPr>
          <w:p w14:paraId="244D62C3" w14:textId="77777777" w:rsidR="006A62CE" w:rsidRDefault="00000000">
            <w:pPr>
              <w:spacing w:after="0"/>
            </w:pPr>
            <w:r>
              <w:rPr>
                <w:sz w:val="16"/>
              </w:rPr>
              <w:t>Probability-weighted information budget</w:t>
            </w:r>
          </w:p>
        </w:tc>
      </w:tr>
    </w:tbl>
    <w:p w14:paraId="76C7716F" w14:textId="77777777" w:rsidR="006A62CE" w:rsidRDefault="006A62CE">
      <w:pPr>
        <w:spacing w:after="20"/>
      </w:pPr>
    </w:p>
    <w:p w14:paraId="5C57A57C" w14:textId="77777777" w:rsidR="006A62CE" w:rsidRDefault="00000000">
      <w:pPr>
        <w:pStyle w:val="Heading1"/>
      </w:pPr>
      <w:r>
        <w:t>X. Scope and limitations</w:t>
      </w:r>
    </w:p>
    <w:p w14:paraId="2974711F" w14:textId="77777777" w:rsidR="006A62CE" w:rsidRDefault="00000000">
      <w:pPr>
        <w:pStyle w:val="ListBullet"/>
      </w:pPr>
      <w:r>
        <w:t>The matched-family Holevo advantage is not claimed against the full causally separable process cone.</w:t>
      </w:r>
    </w:p>
    <w:p w14:paraId="73247B64" w14:textId="77777777" w:rsidR="006A62CE" w:rsidRDefault="00000000">
      <w:pPr>
        <w:pStyle w:val="ListBullet"/>
      </w:pPr>
      <w:r>
        <w:t>Causal nonseparability does not imply environmental objectivity, and objectivity is not a causal witness.</w:t>
      </w:r>
    </w:p>
    <w:p w14:paraId="599E8FF5" w14:textId="77777777" w:rsidR="006A62CE" w:rsidRDefault="00000000">
      <w:pPr>
        <w:pStyle w:val="ListBullet"/>
      </w:pPr>
      <w:r>
        <w:t>The inherited-witness theorem requires deterministic local recovery of the certified base process.</w:t>
      </w:r>
    </w:p>
    <w:p w14:paraId="330581BF" w14:textId="77777777" w:rsidR="006A62CE" w:rsidRDefault="00000000">
      <w:pPr>
        <w:pStyle w:val="ListBullet"/>
      </w:pPr>
      <w:r>
        <w:t>The SBS diagnostics are finite local and correlation diagnostics, not a global distance-to-SBS theorem.</w:t>
      </w:r>
    </w:p>
    <w:p w14:paraId="754F4AC2" w14:textId="77777777" w:rsidR="006A62CE" w:rsidRDefault="00000000">
      <w:pPr>
        <w:pStyle w:val="ListBullet"/>
      </w:pPr>
      <w:r>
        <w:t>The validation package contains analytic proofs, Qiskit and NumPy gate-level statevector results, reduced-normal-form checks, and finite-shot ideal-sampling outputs. These are computational validation results, not physical-device measurements.</w:t>
      </w:r>
    </w:p>
    <w:p w14:paraId="7DF3F487" w14:textId="77777777" w:rsidR="006A62CE" w:rsidRDefault="00000000">
      <w:pPr>
        <w:pStyle w:val="ListBullet"/>
      </w:pPr>
      <w:r>
        <w:t>The access decomposition is defined relative to the declared branch-basis dephasing and access structure.</w:t>
      </w:r>
    </w:p>
    <w:p w14:paraId="12F8C938" w14:textId="77777777" w:rsidR="006A62CE" w:rsidRDefault="00000000">
      <w:pPr>
        <w:pStyle w:val="ListBullet"/>
      </w:pPr>
      <w:r>
        <w:t>The Helstrom-neutrality theorem is exact for the declared equal-prior binary model and is not asserted for arbitrary tasks, priors, channels, or dimensions.</w:t>
      </w:r>
    </w:p>
    <w:p w14:paraId="6D4C2BA7" w14:textId="77777777" w:rsidR="006A62CE" w:rsidRDefault="00000000">
      <w:pPr>
        <w:pStyle w:val="Heading1"/>
      </w:pPr>
      <w:r>
        <w:t>XI. Conclusion</w:t>
      </w:r>
    </w:p>
    <w:p w14:paraId="1E339C5B" w14:textId="77777777" w:rsidR="006A62CE" w:rsidRDefault="00000000">
      <w:r>
        <w:t>Environmental objectivity and causal nonseparability are independent. When record-generating operations are coherently ordered, branchwise pointer compatibility determines deterministic preservation, while the control provides a bounded information resource. The resource can increase joint Holevo information without improving equal-prior binary discrimination or fragment-only redundancy. Postselection is probability constrained, record replication does not make the bonus extensive, and deterministic local record outputs preserve the causal certificate through witness pullback.</w:t>
      </w:r>
    </w:p>
    <w:p w14:paraId="3D021E1C" w14:textId="77777777" w:rsidR="006A62CE" w:rsidRDefault="00000000">
      <w:r>
        <w:t>The comparison with communication-power results further shows why coherent order should be assessed task by task: an advantage in one-shot message transmission does not imply an advantage in equal-prior environmental-record discrimination. The framework therefore gives theory and experiment a common checklist for separating redundant environmental records, control-assisted information, postselection effects, decision performance, and independent causal certification in controlled-order record circuits.</w:t>
      </w:r>
    </w:p>
    <w:p w14:paraId="1549E3DA" w14:textId="77777777" w:rsidR="006A62CE" w:rsidRDefault="00000000">
      <w:pPr>
        <w:pStyle w:val="Heading1"/>
      </w:pPr>
      <w:r>
        <w:t>Data and code availability</w:t>
      </w:r>
    </w:p>
    <w:p w14:paraId="4EB6E734" w14:textId="3825122C" w:rsidR="006A62CE" w:rsidRDefault="00000000">
      <w:r>
        <w:t xml:space="preserve">All deterministic scripts, prediction tables, exact matrix outputs, finite-shot computational counts, bootstrap intervals, local simulator outputs, theorem certificates, reports, and checksums assembled for this submission are included in the accompanying reproducibility package. The package includes machine-readable numerical validation outputs and simulation-generated finite-shot data but no measurements from a physical quantum processor. The final public archive will be cited as: S. Muniz, Causal Nonseparability and Environmental Objectivity Reproducibility Package, Version 5.0, </w:t>
      </w:r>
      <w:proofErr w:type="spellStart"/>
      <w:r>
        <w:t>Zenodo</w:t>
      </w:r>
      <w:proofErr w:type="spellEnd"/>
      <w:r>
        <w:t xml:space="preserve"> (2026), DOI: </w:t>
      </w:r>
      <w:r w:rsidR="00C312EB" w:rsidRPr="00C312EB">
        <w:t>10.5281/zenodo.21933737</w:t>
      </w:r>
    </w:p>
    <w:p w14:paraId="59D09AE5" w14:textId="77777777" w:rsidR="006A62CE" w:rsidRDefault="00000000">
      <w:pPr>
        <w:pStyle w:val="Heading1"/>
      </w:pPr>
      <w:r>
        <w:t>Author contributions, declarations, and AI assistance</w:t>
      </w:r>
    </w:p>
    <w:p w14:paraId="32D31756" w14:textId="77777777" w:rsidR="006A62CE" w:rsidRDefault="00000000">
      <w:r>
        <w:t xml:space="preserve">S.M. is the sole author, conceived and directed the research, and takes responsibility for the manuscript and its claims. The author is affiliated with Dr. Ware Technology Services and declares no competing interests. A large language model assisted with drafting, editing, bibliographic organization, numerical code, symbolic checks, and </w:t>
      </w:r>
      <w:r>
        <w:lastRenderedPageBreak/>
        <w:t>critical review. The author is responsible for verification of all mathematical statements, calculations, references, and final text. No AI system is an author.</w:t>
      </w:r>
    </w:p>
    <w:p w14:paraId="67331768" w14:textId="77777777" w:rsidR="006A62CE" w:rsidRDefault="00000000">
      <w:pPr>
        <w:pStyle w:val="Heading1"/>
      </w:pPr>
      <w:r>
        <w:t>Appendix A. Matrix route for the neutrality theorem</w:t>
      </w:r>
    </w:p>
    <w:p w14:paraId="2E15D077" w14:textId="77777777" w:rsidR="006A62CE" w:rsidRDefault="00000000">
      <w:r>
        <w:t>The original symbolic script generates the physical-basis operators from the real-rotation circuit and verifies p_coh(λ)=λ²p_AB(λ)=λ²p_BA(λ). Version 4 independently reconstructs the four-qubit gates with NumPy, traces to E₂ or T+E₂, and exports the physical-basis entries of Δ_AB, Δ_BA, and Δ_coh at all 51 grid points in v4_gate_level_validation.csv. The separate reduced-normal-form file remains a consequence-level check rather than a circuit-level derivation.</w:t>
      </w:r>
    </w:p>
    <w:p w14:paraId="15EB3D59" w14:textId="77777777" w:rsidR="006A62CE" w:rsidRDefault="00000000">
      <w:pPr>
        <w:pStyle w:val="Heading1"/>
      </w:pPr>
      <w:r>
        <w:t>Appendix B. Referee reproducibility checklist</w:t>
      </w:r>
    </w:p>
    <w:p w14:paraId="7C9D4A2F" w14:textId="77777777" w:rsidR="006A62CE" w:rsidRDefault="00000000">
      <w:pPr>
        <w:jc w:val="center"/>
      </w:pPr>
      <w:r>
        <w:rPr>
          <w:b/>
          <w:sz w:val="18"/>
        </w:rPr>
        <w:t>Table VIII. Claim-to-artifact audit map.</w:t>
      </w:r>
    </w:p>
    <w:p w14:paraId="3933D886" w14:textId="77777777" w:rsidR="006A62CE" w:rsidRDefault="00000000">
      <w:r>
        <w:t>Table VIII maps each principal claim to its required reproducibility artifact and verification target.</w:t>
      </w:r>
    </w:p>
    <w:tbl>
      <w:tblPr>
        <w:tblStyle w:val="TableGrid"/>
        <w:tblW w:w="0" w:type="auto"/>
        <w:jc w:val="center"/>
        <w:tblLook w:val="04A0" w:firstRow="1" w:lastRow="0" w:firstColumn="1" w:lastColumn="0" w:noHBand="0" w:noVBand="1"/>
      </w:tblPr>
      <w:tblGrid>
        <w:gridCol w:w="3293"/>
        <w:gridCol w:w="3293"/>
        <w:gridCol w:w="3293"/>
      </w:tblGrid>
      <w:tr w:rsidR="006A62CE" w14:paraId="07202DDC" w14:textId="77777777">
        <w:trPr>
          <w:jc w:val="center"/>
        </w:trPr>
        <w:tc>
          <w:tcPr>
            <w:tcW w:w="3293" w:type="dxa"/>
            <w:shd w:val="clear" w:color="auto" w:fill="D9EAF7"/>
            <w:tcMar>
              <w:top w:w="80" w:type="dxa"/>
              <w:left w:w="90" w:type="dxa"/>
              <w:bottom w:w="80" w:type="dxa"/>
              <w:right w:w="90" w:type="dxa"/>
            </w:tcMar>
            <w:vAlign w:val="center"/>
          </w:tcPr>
          <w:p w14:paraId="15065271" w14:textId="77777777" w:rsidR="006A62CE" w:rsidRDefault="00000000">
            <w:r>
              <w:rPr>
                <w:rFonts w:ascii="Arial" w:hAnsi="Arial"/>
                <w:b/>
                <w:sz w:val="17"/>
              </w:rPr>
              <w:t>Claim</w:t>
            </w:r>
          </w:p>
        </w:tc>
        <w:tc>
          <w:tcPr>
            <w:tcW w:w="3293" w:type="dxa"/>
            <w:shd w:val="clear" w:color="auto" w:fill="D9EAF7"/>
            <w:tcMar>
              <w:top w:w="80" w:type="dxa"/>
              <w:left w:w="90" w:type="dxa"/>
              <w:bottom w:w="80" w:type="dxa"/>
              <w:right w:w="90" w:type="dxa"/>
            </w:tcMar>
            <w:vAlign w:val="center"/>
          </w:tcPr>
          <w:p w14:paraId="2E9570A6" w14:textId="77777777" w:rsidR="006A62CE" w:rsidRDefault="00000000">
            <w:r>
              <w:rPr>
                <w:rFonts w:ascii="Arial" w:hAnsi="Arial"/>
                <w:b/>
                <w:sz w:val="17"/>
              </w:rPr>
              <w:t>Required artifact</w:t>
            </w:r>
          </w:p>
        </w:tc>
        <w:tc>
          <w:tcPr>
            <w:tcW w:w="3293" w:type="dxa"/>
            <w:shd w:val="clear" w:color="auto" w:fill="D9EAF7"/>
            <w:tcMar>
              <w:top w:w="80" w:type="dxa"/>
              <w:left w:w="90" w:type="dxa"/>
              <w:bottom w:w="80" w:type="dxa"/>
              <w:right w:w="90" w:type="dxa"/>
            </w:tcMar>
            <w:vAlign w:val="center"/>
          </w:tcPr>
          <w:p w14:paraId="360F619A" w14:textId="77777777" w:rsidR="006A62CE" w:rsidRDefault="00000000">
            <w:r>
              <w:rPr>
                <w:rFonts w:ascii="Arial" w:hAnsi="Arial"/>
                <w:b/>
                <w:sz w:val="17"/>
              </w:rPr>
              <w:t>Verification target</w:t>
            </w:r>
          </w:p>
        </w:tc>
      </w:tr>
      <w:tr w:rsidR="006A62CE" w14:paraId="083659AB" w14:textId="77777777">
        <w:trPr>
          <w:jc w:val="center"/>
        </w:trPr>
        <w:tc>
          <w:tcPr>
            <w:tcW w:w="3293" w:type="dxa"/>
            <w:tcMar>
              <w:top w:w="80" w:type="dxa"/>
              <w:left w:w="90" w:type="dxa"/>
              <w:bottom w:w="80" w:type="dxa"/>
              <w:right w:w="90" w:type="dxa"/>
            </w:tcMar>
            <w:vAlign w:val="center"/>
          </w:tcPr>
          <w:p w14:paraId="788C0D63" w14:textId="77777777" w:rsidR="006A62CE" w:rsidRDefault="00000000">
            <w:pPr>
              <w:spacing w:after="0"/>
            </w:pPr>
            <w:r>
              <w:rPr>
                <w:sz w:val="16"/>
              </w:rPr>
              <w:t>Access decomposition</w:t>
            </w:r>
          </w:p>
        </w:tc>
        <w:tc>
          <w:tcPr>
            <w:tcW w:w="3293" w:type="dxa"/>
            <w:tcMar>
              <w:top w:w="80" w:type="dxa"/>
              <w:left w:w="90" w:type="dxa"/>
              <w:bottom w:w="80" w:type="dxa"/>
              <w:right w:w="90" w:type="dxa"/>
            </w:tcMar>
            <w:vAlign w:val="center"/>
          </w:tcPr>
          <w:p w14:paraId="2FEA7F35" w14:textId="77777777" w:rsidR="006A62CE" w:rsidRDefault="00000000">
            <w:pPr>
              <w:spacing w:after="0"/>
            </w:pPr>
            <w:r>
              <w:rPr>
                <w:sz w:val="16"/>
              </w:rPr>
              <w:t>Symbolic notebook or script</w:t>
            </w:r>
          </w:p>
        </w:tc>
        <w:tc>
          <w:tcPr>
            <w:tcW w:w="3293" w:type="dxa"/>
            <w:tcMar>
              <w:top w:w="80" w:type="dxa"/>
              <w:left w:w="90" w:type="dxa"/>
              <w:bottom w:w="80" w:type="dxa"/>
              <w:right w:w="90" w:type="dxa"/>
            </w:tcMar>
            <w:vAlign w:val="center"/>
          </w:tcPr>
          <w:p w14:paraId="521EF1FD" w14:textId="77777777" w:rsidR="006A62CE" w:rsidRDefault="00000000">
            <w:pPr>
              <w:spacing w:after="0"/>
            </w:pPr>
            <w:r>
              <w:rPr>
                <w:sz w:val="16"/>
              </w:rPr>
              <w:t>Eq. (3) and marginal-invariance check</w:t>
            </w:r>
          </w:p>
        </w:tc>
      </w:tr>
      <w:tr w:rsidR="006A62CE" w14:paraId="3BED985C" w14:textId="77777777">
        <w:trPr>
          <w:jc w:val="center"/>
        </w:trPr>
        <w:tc>
          <w:tcPr>
            <w:tcW w:w="3293" w:type="dxa"/>
            <w:tcMar>
              <w:top w:w="80" w:type="dxa"/>
              <w:left w:w="90" w:type="dxa"/>
              <w:bottom w:w="80" w:type="dxa"/>
              <w:right w:w="90" w:type="dxa"/>
            </w:tcMar>
            <w:vAlign w:val="center"/>
          </w:tcPr>
          <w:p w14:paraId="281AB809" w14:textId="77777777" w:rsidR="006A62CE" w:rsidRDefault="00000000">
            <w:pPr>
              <w:spacing w:after="0"/>
            </w:pPr>
            <w:r>
              <w:rPr>
                <w:sz w:val="16"/>
              </w:rPr>
              <w:t>Postselection budget</w:t>
            </w:r>
          </w:p>
        </w:tc>
        <w:tc>
          <w:tcPr>
            <w:tcW w:w="3293" w:type="dxa"/>
            <w:tcMar>
              <w:top w:w="80" w:type="dxa"/>
              <w:left w:w="90" w:type="dxa"/>
              <w:bottom w:w="80" w:type="dxa"/>
              <w:right w:w="90" w:type="dxa"/>
            </w:tcMar>
            <w:vAlign w:val="center"/>
          </w:tcPr>
          <w:p w14:paraId="2412EC9D" w14:textId="77777777" w:rsidR="006A62CE" w:rsidRDefault="00000000">
            <w:pPr>
              <w:spacing w:after="0"/>
            </w:pPr>
            <w:r>
              <w:rPr>
                <w:sz w:val="16"/>
              </w:rPr>
              <w:t>Analytic derivation and sampled instruments</w:t>
            </w:r>
          </w:p>
        </w:tc>
        <w:tc>
          <w:tcPr>
            <w:tcW w:w="3293" w:type="dxa"/>
            <w:tcMar>
              <w:top w:w="80" w:type="dxa"/>
              <w:left w:w="90" w:type="dxa"/>
              <w:bottom w:w="80" w:type="dxa"/>
              <w:right w:w="90" w:type="dxa"/>
            </w:tcMar>
            <w:vAlign w:val="center"/>
          </w:tcPr>
          <w:p w14:paraId="050C177C" w14:textId="77777777" w:rsidR="006A62CE" w:rsidRDefault="00000000">
            <w:pPr>
              <w:spacing w:after="0"/>
            </w:pPr>
            <w:r>
              <w:rPr>
                <w:sz w:val="16"/>
              </w:rPr>
              <w:t>Eqs. (7)-(9)</w:t>
            </w:r>
          </w:p>
        </w:tc>
      </w:tr>
      <w:tr w:rsidR="006A62CE" w14:paraId="12445F1E" w14:textId="77777777">
        <w:trPr>
          <w:jc w:val="center"/>
        </w:trPr>
        <w:tc>
          <w:tcPr>
            <w:tcW w:w="3293" w:type="dxa"/>
            <w:tcMar>
              <w:top w:w="80" w:type="dxa"/>
              <w:left w:w="90" w:type="dxa"/>
              <w:bottom w:w="80" w:type="dxa"/>
              <w:right w:w="90" w:type="dxa"/>
            </w:tcMar>
            <w:vAlign w:val="center"/>
          </w:tcPr>
          <w:p w14:paraId="24FAD0A0" w14:textId="77777777" w:rsidR="006A62CE" w:rsidRDefault="00000000">
            <w:pPr>
              <w:spacing w:after="0"/>
            </w:pPr>
            <w:r>
              <w:rPr>
                <w:sz w:val="16"/>
              </w:rPr>
              <w:t>Helstrom neutrality</w:t>
            </w:r>
          </w:p>
        </w:tc>
        <w:tc>
          <w:tcPr>
            <w:tcW w:w="3293" w:type="dxa"/>
            <w:tcMar>
              <w:top w:w="80" w:type="dxa"/>
              <w:left w:w="90" w:type="dxa"/>
              <w:bottom w:w="80" w:type="dxa"/>
              <w:right w:w="90" w:type="dxa"/>
            </w:tcMar>
            <w:vAlign w:val="center"/>
          </w:tcPr>
          <w:p w14:paraId="45223D60" w14:textId="77777777" w:rsidR="006A62CE" w:rsidRDefault="00000000">
            <w:pPr>
              <w:spacing w:after="0"/>
            </w:pPr>
            <w:r>
              <w:rPr>
                <w:sz w:val="16"/>
              </w:rPr>
              <w:t>Symbolic determinant certificate and statevector grid</w:t>
            </w:r>
          </w:p>
        </w:tc>
        <w:tc>
          <w:tcPr>
            <w:tcW w:w="3293" w:type="dxa"/>
            <w:tcMar>
              <w:top w:w="80" w:type="dxa"/>
              <w:left w:w="90" w:type="dxa"/>
              <w:bottom w:w="80" w:type="dxa"/>
              <w:right w:w="90" w:type="dxa"/>
            </w:tcMar>
            <w:vAlign w:val="center"/>
          </w:tcPr>
          <w:p w14:paraId="4D996F01" w14:textId="77777777" w:rsidR="006A62CE" w:rsidRDefault="00000000">
            <w:pPr>
              <w:spacing w:after="0"/>
            </w:pPr>
            <w:r>
              <w:rPr>
                <w:sz w:val="16"/>
              </w:rPr>
              <w:t>Eqs. (10)-(13)</w:t>
            </w:r>
          </w:p>
        </w:tc>
      </w:tr>
      <w:tr w:rsidR="006A62CE" w14:paraId="05FBEBD3" w14:textId="77777777">
        <w:trPr>
          <w:jc w:val="center"/>
        </w:trPr>
        <w:tc>
          <w:tcPr>
            <w:tcW w:w="3293" w:type="dxa"/>
            <w:tcMar>
              <w:top w:w="80" w:type="dxa"/>
              <w:left w:w="90" w:type="dxa"/>
              <w:bottom w:w="80" w:type="dxa"/>
              <w:right w:w="90" w:type="dxa"/>
            </w:tcMar>
            <w:vAlign w:val="center"/>
          </w:tcPr>
          <w:p w14:paraId="6401CEFF" w14:textId="77777777" w:rsidR="006A62CE" w:rsidRDefault="00000000">
            <w:pPr>
              <w:spacing w:after="0"/>
            </w:pPr>
            <w:r>
              <w:rPr>
                <w:sz w:val="16"/>
              </w:rPr>
              <w:t>Matched Holevo bonus</w:t>
            </w:r>
          </w:p>
        </w:tc>
        <w:tc>
          <w:tcPr>
            <w:tcW w:w="3293" w:type="dxa"/>
            <w:tcMar>
              <w:top w:w="80" w:type="dxa"/>
              <w:left w:w="90" w:type="dxa"/>
              <w:bottom w:w="80" w:type="dxa"/>
              <w:right w:w="90" w:type="dxa"/>
            </w:tcMar>
            <w:vAlign w:val="center"/>
          </w:tcPr>
          <w:p w14:paraId="346F0952" w14:textId="77777777" w:rsidR="006A62CE" w:rsidRDefault="00000000">
            <w:pPr>
              <w:spacing w:after="0"/>
            </w:pPr>
            <w:r>
              <w:rPr>
                <w:sz w:val="16"/>
              </w:rPr>
              <w:t>Parameter file and machine-readable output</w:t>
            </w:r>
          </w:p>
        </w:tc>
        <w:tc>
          <w:tcPr>
            <w:tcW w:w="3293" w:type="dxa"/>
            <w:tcMar>
              <w:top w:w="80" w:type="dxa"/>
              <w:left w:w="90" w:type="dxa"/>
              <w:bottom w:w="80" w:type="dxa"/>
              <w:right w:w="90" w:type="dxa"/>
            </w:tcMar>
            <w:vAlign w:val="center"/>
          </w:tcPr>
          <w:p w14:paraId="22C54BDC" w14:textId="77777777" w:rsidR="006A62CE" w:rsidRDefault="00000000">
            <w:pPr>
              <w:spacing w:after="0"/>
            </w:pPr>
            <w:r>
              <w:rPr>
                <w:sz w:val="16"/>
              </w:rPr>
              <w:t>0.0839771759-bit difference</w:t>
            </w:r>
          </w:p>
        </w:tc>
      </w:tr>
      <w:tr w:rsidR="006A62CE" w14:paraId="6BFDB1FB" w14:textId="77777777">
        <w:trPr>
          <w:jc w:val="center"/>
        </w:trPr>
        <w:tc>
          <w:tcPr>
            <w:tcW w:w="3293" w:type="dxa"/>
            <w:tcMar>
              <w:top w:w="80" w:type="dxa"/>
              <w:left w:w="90" w:type="dxa"/>
              <w:bottom w:w="80" w:type="dxa"/>
              <w:right w:w="90" w:type="dxa"/>
            </w:tcMar>
            <w:vAlign w:val="center"/>
          </w:tcPr>
          <w:p w14:paraId="2C92BA45" w14:textId="77777777" w:rsidR="006A62CE" w:rsidRDefault="00000000">
            <w:pPr>
              <w:spacing w:after="0"/>
            </w:pPr>
            <w:r>
              <w:rPr>
                <w:sz w:val="16"/>
              </w:rPr>
              <w:t>Many-fragment result</w:t>
            </w:r>
          </w:p>
        </w:tc>
        <w:tc>
          <w:tcPr>
            <w:tcW w:w="3293" w:type="dxa"/>
            <w:tcMar>
              <w:top w:w="80" w:type="dxa"/>
              <w:left w:w="90" w:type="dxa"/>
              <w:bottom w:w="80" w:type="dxa"/>
              <w:right w:w="90" w:type="dxa"/>
            </w:tcMar>
            <w:vAlign w:val="center"/>
          </w:tcPr>
          <w:p w14:paraId="1400C0E3" w14:textId="77777777" w:rsidR="006A62CE" w:rsidRDefault="00000000">
            <w:pPr>
              <w:spacing w:after="0"/>
            </w:pPr>
            <w:r>
              <w:rPr>
                <w:sz w:val="16"/>
              </w:rPr>
              <w:t>Subset-enumeration script and tables</w:t>
            </w:r>
          </w:p>
        </w:tc>
        <w:tc>
          <w:tcPr>
            <w:tcW w:w="3293" w:type="dxa"/>
            <w:tcMar>
              <w:top w:w="80" w:type="dxa"/>
              <w:left w:w="90" w:type="dxa"/>
              <w:bottom w:w="80" w:type="dxa"/>
              <w:right w:w="90" w:type="dxa"/>
            </w:tcMar>
            <w:vAlign w:val="center"/>
          </w:tcPr>
          <w:p w14:paraId="7BF47371" w14:textId="77777777" w:rsidR="006A62CE" w:rsidRDefault="00000000">
            <w:pPr>
              <w:spacing w:after="0"/>
            </w:pPr>
            <w:r>
              <w:rPr>
                <w:sz w:val="16"/>
              </w:rPr>
              <w:t>N=2,4,6,8 conclusions</w:t>
            </w:r>
          </w:p>
        </w:tc>
      </w:tr>
      <w:tr w:rsidR="006A62CE" w14:paraId="5A7C36E6" w14:textId="77777777">
        <w:trPr>
          <w:jc w:val="center"/>
        </w:trPr>
        <w:tc>
          <w:tcPr>
            <w:tcW w:w="3293" w:type="dxa"/>
            <w:tcMar>
              <w:top w:w="80" w:type="dxa"/>
              <w:left w:w="90" w:type="dxa"/>
              <w:bottom w:w="80" w:type="dxa"/>
              <w:right w:w="90" w:type="dxa"/>
            </w:tcMar>
            <w:vAlign w:val="center"/>
          </w:tcPr>
          <w:p w14:paraId="7EA1D4CE" w14:textId="77777777" w:rsidR="006A62CE" w:rsidRDefault="00000000">
            <w:pPr>
              <w:spacing w:after="0"/>
            </w:pPr>
            <w:r>
              <w:rPr>
                <w:sz w:val="16"/>
              </w:rPr>
              <w:t>Witness pullback</w:t>
            </w:r>
          </w:p>
        </w:tc>
        <w:tc>
          <w:tcPr>
            <w:tcW w:w="3293" w:type="dxa"/>
            <w:tcMar>
              <w:top w:w="80" w:type="dxa"/>
              <w:left w:w="90" w:type="dxa"/>
              <w:bottom w:w="80" w:type="dxa"/>
              <w:right w:w="90" w:type="dxa"/>
            </w:tcMar>
            <w:vAlign w:val="center"/>
          </w:tcPr>
          <w:p w14:paraId="216DCEF6" w14:textId="77777777" w:rsidR="006A62CE" w:rsidRDefault="00000000">
            <w:pPr>
              <w:spacing w:after="0"/>
            </w:pPr>
            <w:r>
              <w:rPr>
                <w:sz w:val="16"/>
              </w:rPr>
              <w:t>Process-space assumptions and witness certificate</w:t>
            </w:r>
          </w:p>
        </w:tc>
        <w:tc>
          <w:tcPr>
            <w:tcW w:w="3293" w:type="dxa"/>
            <w:tcMar>
              <w:top w:w="80" w:type="dxa"/>
              <w:left w:w="90" w:type="dxa"/>
              <w:bottom w:w="80" w:type="dxa"/>
              <w:right w:w="90" w:type="dxa"/>
            </w:tcMar>
            <w:vAlign w:val="center"/>
          </w:tcPr>
          <w:p w14:paraId="0CA96B0B" w14:textId="77777777" w:rsidR="006A62CE" w:rsidRDefault="00000000">
            <w:pPr>
              <w:spacing w:after="0"/>
            </w:pPr>
            <w:r>
              <w:rPr>
                <w:sz w:val="16"/>
              </w:rPr>
              <w:t>Eqs. (14)-(17)</w:t>
            </w:r>
          </w:p>
        </w:tc>
      </w:tr>
      <w:tr w:rsidR="006A62CE" w14:paraId="12E56DBD" w14:textId="77777777">
        <w:trPr>
          <w:jc w:val="center"/>
        </w:trPr>
        <w:tc>
          <w:tcPr>
            <w:tcW w:w="3293" w:type="dxa"/>
            <w:tcMar>
              <w:top w:w="80" w:type="dxa"/>
              <w:left w:w="90" w:type="dxa"/>
              <w:bottom w:w="80" w:type="dxa"/>
              <w:right w:w="90" w:type="dxa"/>
            </w:tcMar>
            <w:vAlign w:val="center"/>
          </w:tcPr>
          <w:p w14:paraId="6A52EE58" w14:textId="77777777" w:rsidR="006A62CE" w:rsidRDefault="00000000">
            <w:pPr>
              <w:spacing w:after="0"/>
            </w:pPr>
            <w:r>
              <w:rPr>
                <w:sz w:val="16"/>
              </w:rPr>
              <w:t>Four-qubit route</w:t>
            </w:r>
          </w:p>
        </w:tc>
        <w:tc>
          <w:tcPr>
            <w:tcW w:w="3293" w:type="dxa"/>
            <w:tcMar>
              <w:top w:w="80" w:type="dxa"/>
              <w:left w:w="90" w:type="dxa"/>
              <w:bottom w:w="80" w:type="dxa"/>
              <w:right w:w="90" w:type="dxa"/>
            </w:tcMar>
            <w:vAlign w:val="center"/>
          </w:tcPr>
          <w:p w14:paraId="0A8E892D" w14:textId="77777777" w:rsidR="006A62CE" w:rsidRDefault="00000000">
            <w:pPr>
              <w:spacing w:after="0"/>
            </w:pPr>
            <w:r>
              <w:rPr>
                <w:sz w:val="16"/>
              </w:rPr>
              <w:t>OpenQASM and tomography scripts</w:t>
            </w:r>
          </w:p>
        </w:tc>
        <w:tc>
          <w:tcPr>
            <w:tcW w:w="3293" w:type="dxa"/>
            <w:tcMar>
              <w:top w:w="80" w:type="dxa"/>
              <w:left w:w="90" w:type="dxa"/>
              <w:bottom w:w="80" w:type="dxa"/>
              <w:right w:w="90" w:type="dxa"/>
            </w:tcMar>
            <w:vAlign w:val="center"/>
          </w:tcPr>
          <w:p w14:paraId="193149B5" w14:textId="77777777" w:rsidR="006A62CE" w:rsidRDefault="00000000">
            <w:pPr>
              <w:spacing w:after="0"/>
            </w:pPr>
            <w:r>
              <w:rPr>
                <w:sz w:val="16"/>
              </w:rPr>
              <w:t>Declared simulator predictions</w:t>
            </w:r>
          </w:p>
        </w:tc>
      </w:tr>
      <w:tr w:rsidR="006A62CE" w14:paraId="6F4286C4" w14:textId="77777777">
        <w:trPr>
          <w:jc w:val="center"/>
        </w:trPr>
        <w:tc>
          <w:tcPr>
            <w:tcW w:w="3293" w:type="dxa"/>
          </w:tcPr>
          <w:p w14:paraId="06AF9BFE" w14:textId="77777777" w:rsidR="006A62CE" w:rsidRDefault="00000000">
            <w:r>
              <w:t>Gate-level circuit neutrality</w:t>
            </w:r>
          </w:p>
        </w:tc>
        <w:tc>
          <w:tcPr>
            <w:tcW w:w="3293" w:type="dxa"/>
          </w:tcPr>
          <w:p w14:paraId="1A0018D2" w14:textId="77777777" w:rsidR="006A62CE" w:rsidRDefault="00000000">
            <w:r>
              <w:t>gate_level_validation_v4.py; v4_gate_level_validation.csv</w:t>
            </w:r>
          </w:p>
        </w:tc>
        <w:tc>
          <w:tcPr>
            <w:tcW w:w="3293" w:type="dxa"/>
          </w:tcPr>
          <w:p w14:paraId="10C4F6F3" w14:textId="77777777" w:rsidR="006A62CE" w:rsidRDefault="00000000">
            <w:r>
              <w:t>Physical-basis matrices, spectra, and Eq. (13) over 51 settings</w:t>
            </w:r>
          </w:p>
        </w:tc>
      </w:tr>
      <w:tr w:rsidR="006A62CE" w14:paraId="62A81365" w14:textId="77777777">
        <w:trPr>
          <w:jc w:val="center"/>
        </w:trPr>
        <w:tc>
          <w:tcPr>
            <w:tcW w:w="3293" w:type="dxa"/>
          </w:tcPr>
          <w:p w14:paraId="6638F9C6" w14:textId="77777777" w:rsidR="006A62CE" w:rsidRDefault="00000000">
            <w:r>
              <w:t>Reduced spectral normal forms</w:t>
            </w:r>
          </w:p>
        </w:tc>
        <w:tc>
          <w:tcPr>
            <w:tcW w:w="3293" w:type="dxa"/>
          </w:tcPr>
          <w:p w14:paraId="32D3026A" w14:textId="77777777" w:rsidR="006A62CE" w:rsidRDefault="00000000">
            <w:r>
              <w:t>classical_validation_v3.py; v3_exact_matrix_validation.csv</w:t>
            </w:r>
          </w:p>
        </w:tc>
        <w:tc>
          <w:tcPr>
            <w:tcW w:w="3293" w:type="dxa"/>
          </w:tcPr>
          <w:p w14:paraId="64105C0C" w14:textId="77777777" w:rsidR="006A62CE" w:rsidRDefault="00000000">
            <w:r>
              <w:t>Normal-form eigenvalues and trace norms over 51 settings</w:t>
            </w:r>
          </w:p>
        </w:tc>
      </w:tr>
      <w:tr w:rsidR="006A62CE" w14:paraId="5CCB253D" w14:textId="77777777">
        <w:trPr>
          <w:jc w:val="center"/>
        </w:trPr>
        <w:tc>
          <w:tcPr>
            <w:tcW w:w="3293" w:type="dxa"/>
          </w:tcPr>
          <w:p w14:paraId="64FCFE21" w14:textId="77777777" w:rsidR="006A62CE" w:rsidRDefault="00000000">
            <w:r>
              <w:t>Finite-shot ideal sampling</w:t>
            </w:r>
          </w:p>
        </w:tc>
        <w:tc>
          <w:tcPr>
            <w:tcW w:w="3293" w:type="dxa"/>
          </w:tcPr>
          <w:p w14:paraId="58AE1C2B" w14:textId="77777777" w:rsidR="006A62CE" w:rsidRDefault="00000000">
            <w:r>
              <w:t>v4_finite_shot_validation.csv</w:t>
            </w:r>
          </w:p>
        </w:tc>
        <w:tc>
          <w:tcPr>
            <w:tcW w:w="3293" w:type="dxa"/>
          </w:tcPr>
          <w:p w14:paraId="2A7B71D8" w14:textId="77777777" w:rsidR="006A62CE" w:rsidRDefault="00000000">
            <w:r>
              <w:t>Counts, bias, error, and simultaneous intervals over 99 settings</w:t>
            </w:r>
          </w:p>
        </w:tc>
      </w:tr>
      <w:tr w:rsidR="006A62CE" w14:paraId="4FA57B22" w14:textId="77777777">
        <w:trPr>
          <w:jc w:val="center"/>
        </w:trPr>
        <w:tc>
          <w:tcPr>
            <w:tcW w:w="3293" w:type="dxa"/>
          </w:tcPr>
          <w:p w14:paraId="786070B8" w14:textId="77777777" w:rsidR="006A62CE" w:rsidRDefault="00000000">
            <w:r>
              <w:t>Validation summary and integrity</w:t>
            </w:r>
          </w:p>
        </w:tc>
        <w:tc>
          <w:tcPr>
            <w:tcW w:w="3293" w:type="dxa"/>
          </w:tcPr>
          <w:p w14:paraId="26D141B3" w14:textId="77777777" w:rsidR="006A62CE" w:rsidRDefault="00000000">
            <w:r>
              <w:t>v4_validation_summary.json; v4_checksums.sha256</w:t>
            </w:r>
          </w:p>
        </w:tc>
        <w:tc>
          <w:tcPr>
            <w:tcW w:w="3293" w:type="dxa"/>
          </w:tcPr>
          <w:p w14:paraId="44D2376F" w14:textId="77777777" w:rsidR="006A62CE" w:rsidRDefault="00000000">
            <w:r>
              <w:t>Seed, versions, aggregate metrics, and SHA-256 hashes</w:t>
            </w:r>
          </w:p>
        </w:tc>
      </w:tr>
      <w:tr w:rsidR="006A62CE" w14:paraId="02E9148C" w14:textId="77777777">
        <w:trPr>
          <w:jc w:val="center"/>
        </w:trPr>
        <w:tc>
          <w:tcPr>
            <w:tcW w:w="3293" w:type="dxa"/>
            <w:tcMar>
              <w:top w:w="80" w:type="dxa"/>
              <w:left w:w="90" w:type="dxa"/>
              <w:bottom w:w="80" w:type="dxa"/>
              <w:right w:w="90" w:type="dxa"/>
            </w:tcMar>
          </w:tcPr>
          <w:p w14:paraId="1A71B114" w14:textId="77777777" w:rsidR="006A62CE" w:rsidRDefault="00000000">
            <w:r>
              <w:rPr>
                <w:sz w:val="16"/>
              </w:rPr>
              <w:t>Version 5 manuscript validation</w:t>
            </w:r>
          </w:p>
        </w:tc>
        <w:tc>
          <w:tcPr>
            <w:tcW w:w="3293" w:type="dxa"/>
            <w:tcMar>
              <w:top w:w="80" w:type="dxa"/>
              <w:left w:w="90" w:type="dxa"/>
              <w:bottom w:w="80" w:type="dxa"/>
              <w:right w:w="90" w:type="dxa"/>
            </w:tcMar>
          </w:tcPr>
          <w:p w14:paraId="16A30B0F" w14:textId="77777777" w:rsidR="006A62CE" w:rsidRDefault="00000000">
            <w:r>
              <w:rPr>
                <w:sz w:val="16"/>
              </w:rPr>
              <w:t>Submission_Paper_PRXQ_V5.docx; v4_checksums.sha256</w:t>
            </w:r>
          </w:p>
        </w:tc>
        <w:tc>
          <w:tcPr>
            <w:tcW w:w="3293" w:type="dxa"/>
            <w:tcMar>
              <w:top w:w="80" w:type="dxa"/>
              <w:left w:w="90" w:type="dxa"/>
              <w:bottom w:w="80" w:type="dxa"/>
              <w:right w:w="90" w:type="dxa"/>
            </w:tcMar>
          </w:tcPr>
          <w:p w14:paraId="07EBFA2C" w14:textId="77777777" w:rsidR="006A62CE" w:rsidRDefault="00000000">
            <w:r>
              <w:rPr>
                <w:sz w:val="16"/>
              </w:rPr>
              <w:t>Gate definitions, tensor ordering, cross-references, and validated numerical summaries</w:t>
            </w:r>
          </w:p>
        </w:tc>
      </w:tr>
    </w:tbl>
    <w:p w14:paraId="42C5F8EE" w14:textId="77777777" w:rsidR="006A62CE" w:rsidRDefault="006A62CE">
      <w:pPr>
        <w:spacing w:after="20"/>
      </w:pPr>
    </w:p>
    <w:p w14:paraId="3FEB9389" w14:textId="77777777" w:rsidR="006A62CE" w:rsidRDefault="00000000">
      <w:pPr>
        <w:pStyle w:val="Heading1"/>
      </w:pPr>
      <w:r>
        <w:t>References</w:t>
      </w:r>
    </w:p>
    <w:p w14:paraId="4B87CDC7" w14:textId="77777777" w:rsidR="006A62CE" w:rsidRDefault="00000000">
      <w:pPr>
        <w:ind w:left="317" w:hanging="317"/>
      </w:pPr>
      <w:r>
        <w:t>[1] W. H. Zurek, Decoherence, einselection, and the quantum origins of the classical, Rev. Mod. Phys. 75, 715 (2003).</w:t>
      </w:r>
    </w:p>
    <w:p w14:paraId="33EE316C" w14:textId="77777777" w:rsidR="006A62CE" w:rsidRDefault="00000000">
      <w:pPr>
        <w:ind w:left="317" w:hanging="317"/>
      </w:pPr>
      <w:r>
        <w:t>[2] H. Ollivier, D. Poulin, and W. H. Zurek, Objective Properties from Subjective Quantum States: Environment as a Witness, Phys. Rev. Lett. 93, 220401 (2004).</w:t>
      </w:r>
    </w:p>
    <w:p w14:paraId="53EAC5D0" w14:textId="77777777" w:rsidR="006A62CE" w:rsidRDefault="00000000">
      <w:pPr>
        <w:ind w:left="317" w:hanging="317"/>
      </w:pPr>
      <w:r>
        <w:t>[3] R. Blume-Kohout and W. H. Zurek, Quantum Darwinism: Entanglement, branches, and the emergent classicality of redundantly stored quantum information, Phys. Rev. A 73, 062310 (2006).</w:t>
      </w:r>
    </w:p>
    <w:p w14:paraId="70B3A4A3" w14:textId="77777777" w:rsidR="006A62CE" w:rsidRDefault="00000000">
      <w:pPr>
        <w:ind w:left="317" w:hanging="317"/>
      </w:pPr>
      <w:r>
        <w:t>[4] W. H. Zurek, Quantum Darwinism, Nat. Phys. 5, 181 (2009).</w:t>
      </w:r>
    </w:p>
    <w:p w14:paraId="36BFE685" w14:textId="77777777" w:rsidR="006A62CE" w:rsidRDefault="00000000">
      <w:pPr>
        <w:ind w:left="317" w:hanging="317"/>
      </w:pPr>
      <w:r>
        <w:lastRenderedPageBreak/>
        <w:t>[5] C. J. Riedel and W. H. Zurek, Quantum Darwinism in an Everyday Environment, Phys. Rev. Lett. 105, 020404 (2010).</w:t>
      </w:r>
    </w:p>
    <w:p w14:paraId="7AFB45F8" w14:textId="77777777" w:rsidR="006A62CE" w:rsidRDefault="00000000">
      <w:pPr>
        <w:ind w:left="317" w:hanging="317"/>
      </w:pPr>
      <w:r>
        <w:t>[6] J. K. Korbicz, P. Horodecki, and R. Horodecki, Objectivity in a Noisy Photonic Environment through Quantum State Information Broadcasting, Phys. Rev. Lett. 112, 120402 (2014).</w:t>
      </w:r>
    </w:p>
    <w:p w14:paraId="14B82A24" w14:textId="77777777" w:rsidR="006A62CE" w:rsidRDefault="00000000">
      <w:pPr>
        <w:ind w:left="317" w:hanging="317"/>
      </w:pPr>
      <w:r>
        <w:t>[7] R. Horodecki, J. K. Korbicz, and P. Horodecki, Quantum origins of objectivity, Phys. Rev. A 91, 032122 (2015).</w:t>
      </w:r>
    </w:p>
    <w:p w14:paraId="7835620B" w14:textId="77777777" w:rsidR="006A62CE" w:rsidRDefault="00000000">
      <w:pPr>
        <w:ind w:left="317" w:hanging="317"/>
      </w:pPr>
      <w:r>
        <w:t>[8] J. K. Korbicz, Roads to objectivity: Quantum Darwinism, spectrum broadcast structures, and strong quantum Darwinism, Quantum 5, 571 (2021).</w:t>
      </w:r>
    </w:p>
    <w:p w14:paraId="32FF3E54" w14:textId="77777777" w:rsidR="006A62CE" w:rsidRDefault="00000000">
      <w:pPr>
        <w:ind w:left="317" w:hanging="317"/>
      </w:pPr>
      <w:r>
        <w:t>[9] O. Oreshkov, F. Costa, and Č. Brukner, Quantum correlations with no causal order, Nat. Commun. 3, 1092 (2012).</w:t>
      </w:r>
    </w:p>
    <w:p w14:paraId="0506D996" w14:textId="77777777" w:rsidR="006A62CE" w:rsidRDefault="00000000">
      <w:pPr>
        <w:ind w:left="317" w:hanging="317"/>
      </w:pPr>
      <w:r>
        <w:t>[10] M. Araújo et al., Witnessing causal nonseparability, New J. Phys. 17, 102001 (2015).</w:t>
      </w:r>
    </w:p>
    <w:p w14:paraId="72D60464" w14:textId="77777777" w:rsidR="006A62CE" w:rsidRDefault="00000000">
      <w:pPr>
        <w:ind w:left="317" w:hanging="317"/>
      </w:pPr>
      <w:r>
        <w:t>[11] C. Branciard, Witnesses of causal nonseparability: an introduction and a few case studies, Sci. Rep. 6, 26018 (2016).</w:t>
      </w:r>
    </w:p>
    <w:p w14:paraId="17735350" w14:textId="77777777" w:rsidR="006A62CE" w:rsidRDefault="00000000">
      <w:pPr>
        <w:ind w:left="317" w:hanging="317"/>
      </w:pPr>
      <w:r>
        <w:t>[12] J. Wechs, A. A. Abbott, and C. Branciard, Multipartite causal (non)separability, New J. Phys. 21, 013027 (2019).</w:t>
      </w:r>
    </w:p>
    <w:p w14:paraId="3E4FD597" w14:textId="77777777" w:rsidR="006A62CE" w:rsidRDefault="00000000">
      <w:pPr>
        <w:ind w:left="317" w:hanging="317"/>
      </w:pPr>
      <w:r>
        <w:t>[13] E. Castro-Ruiz, F. Giacomini, and Č. Brukner, Dynamics of quantum causal structures, Phys. Rev. X 8, 011047 (2018).</w:t>
      </w:r>
    </w:p>
    <w:p w14:paraId="17C1DE2B" w14:textId="77777777" w:rsidR="006A62CE" w:rsidRDefault="00000000">
      <w:pPr>
        <w:ind w:left="317" w:hanging="317"/>
      </w:pPr>
      <w:r>
        <w:t>[14] S. Campbell et al., Collisional unfolding of quantum Darwinism, Phys. Rev. A 99, 042103 (2019).</w:t>
      </w:r>
    </w:p>
    <w:p w14:paraId="0374E912" w14:textId="77777777" w:rsidR="006A62CE" w:rsidRDefault="00000000">
      <w:pPr>
        <w:ind w:left="317" w:hanging="317"/>
      </w:pPr>
      <w:r>
        <w:t>[15] M. Antesberger et al., Higher-Order Process Matrix Tomography of a Passively-Stable Quantum Switch, PRX Quantum 5, 010325 (2024).</w:t>
      </w:r>
    </w:p>
    <w:p w14:paraId="371E1C06" w14:textId="77777777" w:rsidR="006A62CE" w:rsidRDefault="00000000">
      <w:pPr>
        <w:ind w:left="317" w:hanging="317"/>
      </w:pPr>
      <w:r>
        <w:t>[16] M. M. Taddei, R. V. Nery, and L. Aolita, Quantum superpositions of causal orders as an operational resource, Phys. Rev. Research 1, 033174 (2019).</w:t>
      </w:r>
    </w:p>
    <w:p w14:paraId="1925ECC5" w14:textId="77777777" w:rsidR="006A62CE" w:rsidRDefault="00000000">
      <w:pPr>
        <w:ind w:left="317" w:hanging="317"/>
      </w:pPr>
      <w:r>
        <w:t>[17] E. Doucet and S. Deffner, Classifying Two-Body Hamiltonians for Quantum Darwinism, Phys. Rev. X 14, 041064 (2024).</w:t>
      </w:r>
    </w:p>
    <w:p w14:paraId="5EF90C32" w14:textId="77777777" w:rsidR="006A62CE" w:rsidRDefault="00000000">
      <w:pPr>
        <w:ind w:left="317" w:hanging="317"/>
      </w:pPr>
      <w:r>
        <w:t>[18] D. A. Chisholm, G. M. Palma, and L. Innocenti, Emergence of quantum Darwinism and pointer states for noncommuting evolutions, APS Open Science 1, 000024 (2026).</w:t>
      </w:r>
    </w:p>
    <w:p w14:paraId="1355B0B6" w14:textId="77777777" w:rsidR="006A62CE" w:rsidRDefault="00000000">
      <w:pPr>
        <w:ind w:left="317" w:hanging="317"/>
      </w:pPr>
      <w:r>
        <w:t>[19] G. Chiribella, G. M. D'Ariano, P. Perinotti, and B. Valiron, Quantum computations without definite causal structure, Phys. Rev. A 88, 022318 (2013). DOI: 10.1103/PhysRevA.88.022318.</w:t>
      </w:r>
    </w:p>
    <w:p w14:paraId="5968E1B9" w14:textId="77777777" w:rsidR="006A62CE" w:rsidRDefault="00000000">
      <w:pPr>
        <w:ind w:left="317" w:hanging="317"/>
      </w:pPr>
      <w:r>
        <w:t>[20] T. P. Le and A. Olaya-Castro, Strong Quantum Darwinism and Strong Independence are Equivalent to Spectrum Broadcast Structure, Phys. Rev. Lett. 122, 010403 (2019). DOI: 10.1103/PhysRevLett.122.010403.</w:t>
      </w:r>
    </w:p>
    <w:p w14:paraId="27A86B79" w14:textId="77777777" w:rsidR="006A62CE" w:rsidRDefault="00000000">
      <w:pPr>
        <w:ind w:left="317" w:hanging="317"/>
      </w:pPr>
      <w:r>
        <w:t>[21] L. A. Rozema, T. Strömberg, H. Cao, Y. Guo, B.-H. Liu, and P. Walther, Experimental aspects of indefinite causal order in quantum mechanics, Nat. Rev. Phys. 6, 483-499 (2024). DOI: 10.1038/s42254-024-00739-8.</w:t>
      </w:r>
    </w:p>
    <w:p w14:paraId="032FBEB4" w14:textId="77777777" w:rsidR="006A62CE" w:rsidRDefault="00000000">
      <w:pPr>
        <w:ind w:left="317" w:hanging="317"/>
      </w:pPr>
      <w:r>
        <w:t>[22] X. Zhao, B. Zhao, C. Branciard, and G. Chiribella, The communication power of indefinite causal order, arXiv:2510.08507v2 (2026). DOI: 10.48550/arXiv.2510.08507.</w:t>
      </w:r>
    </w:p>
    <w:p w14:paraId="59B3A647" w14:textId="77777777" w:rsidR="006A62CE" w:rsidRDefault="00000000">
      <w:pPr>
        <w:ind w:left="317" w:hanging="317"/>
      </w:pPr>
      <w:r>
        <w:t>[23] C. M. D. Richter, M. Antesberger, H. Cao, P. Walther, and L. A. Rozema, Toward an Experimental Device-Independent Verification of Indefinite Causal Order, PRX Quantum 7, 010354 (2026). DOI: 10.1103/5t2y-ddmt.</w:t>
      </w:r>
    </w:p>
    <w:p w14:paraId="5BFED60C" w14:textId="77777777" w:rsidR="006A62CE" w:rsidRDefault="00000000">
      <w:pPr>
        <w:ind w:left="317" w:hanging="317"/>
      </w:pPr>
      <w:r>
        <w:t>[24] Z. Zhu et al., Observation of quantum Darwinism and the origin of classicality with superconducting circuits, Sci. Adv. 11, eadx6857 (2025). DOI: 10.1126/sciadv.adx6857.</w:t>
      </w:r>
    </w:p>
    <w:p w14:paraId="5A667C8C" w14:textId="77777777" w:rsidR="006A62CE" w:rsidRDefault="00000000">
      <w:pPr>
        <w:ind w:left="317" w:hanging="317"/>
      </w:pPr>
      <w:r>
        <w:t>[25] A. Steffinlongo and H. Dourdent, Simulating Noncausality with Quantum Control of Causal Orders, Phys. Rev. Research 8, 013127 (2026). DOI: 10.1103/9jss-yf1c.</w:t>
      </w:r>
    </w:p>
    <w:p w14:paraId="28C5002C" w14:textId="77777777" w:rsidR="006A62CE" w:rsidRDefault="00000000">
      <w:pPr>
        <w:ind w:left="317" w:hanging="317"/>
      </w:pPr>
      <w:r>
        <w:t>[26] S. Muniz, Causal Nonseparability and Environmental Objectivity Reproducibility Package, Version 5.0, Zenodo (2026), DOI: 10.5281/zenodo.XXXXXXX [PLACEHOLDER].</w:t>
      </w:r>
    </w:p>
    <w:sectPr w:rsidR="006A62CE" w:rsidSect="00034616">
      <w:footerReference w:type="default" r:id="rId10"/>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45B20" w14:textId="77777777" w:rsidR="00A04FAC" w:rsidRDefault="00A04FAC">
      <w:pPr>
        <w:spacing w:after="0" w:line="240" w:lineRule="auto"/>
      </w:pPr>
      <w:r>
        <w:separator/>
      </w:r>
    </w:p>
  </w:endnote>
  <w:endnote w:type="continuationSeparator" w:id="0">
    <w:p w14:paraId="40366C62" w14:textId="77777777" w:rsidR="00A04FAC" w:rsidRDefault="00A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8F3A" w14:textId="77777777" w:rsidR="006A62CE" w:rsidRDefault="00000000">
    <w:pPr>
      <w:pStyle w:val="Footer"/>
      <w:jc w:val="center"/>
    </w:pPr>
    <w:r>
      <w:rPr>
        <w:color w:val="595959"/>
        <w:sz w:val="16"/>
      </w:rPr>
      <w:t>Scott Muniz | PRX Quantum submission manuscript V5 | DOI placeholder pending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C14CE" w14:textId="77777777" w:rsidR="00A04FAC" w:rsidRDefault="00A04FAC">
      <w:pPr>
        <w:spacing w:after="0" w:line="240" w:lineRule="auto"/>
      </w:pPr>
      <w:r>
        <w:separator/>
      </w:r>
    </w:p>
  </w:footnote>
  <w:footnote w:type="continuationSeparator" w:id="0">
    <w:p w14:paraId="107170EB" w14:textId="77777777" w:rsidR="00A04FAC" w:rsidRDefault="00A04F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988460">
    <w:abstractNumId w:val="8"/>
  </w:num>
  <w:num w:numId="2" w16cid:durableId="574170627">
    <w:abstractNumId w:val="6"/>
  </w:num>
  <w:num w:numId="3" w16cid:durableId="795222968">
    <w:abstractNumId w:val="5"/>
  </w:num>
  <w:num w:numId="4" w16cid:durableId="1783306785">
    <w:abstractNumId w:val="4"/>
  </w:num>
  <w:num w:numId="5" w16cid:durableId="1922830093">
    <w:abstractNumId w:val="7"/>
  </w:num>
  <w:num w:numId="6" w16cid:durableId="1208955516">
    <w:abstractNumId w:val="3"/>
  </w:num>
  <w:num w:numId="7" w16cid:durableId="1303266083">
    <w:abstractNumId w:val="2"/>
  </w:num>
  <w:num w:numId="8" w16cid:durableId="713774452">
    <w:abstractNumId w:val="1"/>
  </w:num>
  <w:num w:numId="9" w16cid:durableId="84752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290"/>
    <w:rsid w:val="0029639D"/>
    <w:rsid w:val="00326F90"/>
    <w:rsid w:val="006A62CE"/>
    <w:rsid w:val="00A04FAC"/>
    <w:rsid w:val="00AA1D8D"/>
    <w:rsid w:val="00B47730"/>
    <w:rsid w:val="00C312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00E7FD-FB5C-42C5-939D-E47091F08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after="8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40" w:after="60"/>
      <w:ind w:left="432"/>
    </w:pPr>
    <w:rPr>
      <w:rFonts w:ascii="Cambria Math" w:hAnsi="Cambria Math"/>
      <w:sz w:val="21"/>
    </w:rPr>
  </w:style>
  <w:style w:type="character" w:styleId="Hyperlink">
    <w:name w:val="Hyperlink"/>
    <w:basedOn w:val="DefaultParagraphFont"/>
    <w:uiPriority w:val="99"/>
    <w:unhideWhenUsed/>
    <w:rsid w:val="00C312EB"/>
    <w:rPr>
      <w:color w:val="0000FF" w:themeColor="hyperlink"/>
      <w:u w:val="single"/>
    </w:rPr>
  </w:style>
  <w:style w:type="character" w:styleId="UnresolvedMention">
    <w:name w:val="Unresolved Mention"/>
    <w:basedOn w:val="DefaultParagraphFont"/>
    <w:uiPriority w:val="99"/>
    <w:semiHidden/>
    <w:unhideWhenUsed/>
    <w:rsid w:val="00C31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4939</Words>
  <Characters>32948</Characters>
  <Application>Microsoft Office Word</Application>
  <DocSecurity>0</DocSecurity>
  <Lines>646</Lines>
  <Paragraphs>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Muniz</cp:lastModifiedBy>
  <cp:revision>2</cp:revision>
  <dcterms:created xsi:type="dcterms:W3CDTF">2013-12-23T23:15:00Z</dcterms:created>
  <dcterms:modified xsi:type="dcterms:W3CDTF">2026-08-14T11:53:00Z</dcterms:modified>
  <cp:category/>
</cp:coreProperties>
</file>