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D21AB" w14:textId="77777777" w:rsidR="006A62CE" w:rsidRDefault="00000000">
      <w:pPr>
        <w:pStyle w:val="Title"/>
        <w:jc w:val="center"/>
      </w:pPr>
      <w:r>
        <w:t>Causal Nonseparability and Environmental Objectivity</w:t>
      </w:r>
    </w:p>
    <w:p w14:paraId="24D16966" w14:textId="77777777" w:rsidR="006A62CE" w:rsidRDefault="00000000">
      <w:pPr>
        <w:jc w:val="center"/>
      </w:pPr>
      <w:r>
        <w:rPr>
          <w:i/>
        </w:rPr>
        <w:t>Independence, Control-Assisted Records, and Quantum-Switch Benchmarks</w:t>
      </w:r>
    </w:p>
    <w:p w14:paraId="10C54473" w14:textId="77777777" w:rsidR="006A62CE" w:rsidRDefault="00000000">
      <w:pPr>
        <w:jc w:val="center"/>
      </w:pPr>
      <w:r>
        <w:rPr>
          <w:b/>
        </w:rPr>
        <w:t>Scott Muniz</w:t>
      </w:r>
    </w:p>
    <w:p w14:paraId="7ADFB3CF" w14:textId="77777777" w:rsidR="006A62CE" w:rsidRDefault="00000000">
      <w:pPr>
        <w:jc w:val="center"/>
      </w:pPr>
      <w:r>
        <w:t>Dr. Ware Technology Services | scott@drware.com</w:t>
      </w:r>
    </w:p>
    <w:p w14:paraId="730209B4" w14:textId="77777777" w:rsidR="006A62CE" w:rsidRDefault="00000000">
      <w:pPr>
        <w:jc w:val="center"/>
      </w:pPr>
      <w:r>
        <w:rPr>
          <w:i/>
        </w:rPr>
        <w:t>Research Article | Version 6 | PRX Quantum significance and reproducibility revision | August 2026</w:t>
      </w:r>
    </w:p>
    <w:p w14:paraId="303B21D2" w14:textId="77777777" w:rsidR="006A62CE" w:rsidRDefault="00000000">
      <w:pPr>
        <w:pStyle w:val="Heading1"/>
      </w:pPr>
      <w:r>
        <w:t>Popular Summary</w:t>
      </w:r>
    </w:p>
    <w:p w14:paraId="678D50A0" w14:textId="77777777" w:rsidR="006A62CE" w:rsidRDefault="00000000">
      <w:r>
        <w:t>Quantum Darwinism explains why the classical world can look objective: many parts of the environment can carry the same record of a quantum system. Indefinite causal order asks a different question: what if the order of two operations is itself placed under quantum control? This paper shows that these two ideas are logically independent. A process may have objective environmental records without indefinite order, and it may have indefinite order without objective records. When both are present, the order-control system can store extra information, but that information is bounded and access dependent. It helps only when the control is measured together with an environmental fragment. If the control is ignored, the extra contribution disappears. The result is a no-free-lunch boundary: coherent causal order can assist particular joint-access tasks, but it does not by itself create redundant objective records or certify causal structure.</w:t>
      </w:r>
    </w:p>
    <w:p w14:paraId="335AF413" w14:textId="77777777" w:rsidR="006A62CE" w:rsidRDefault="00000000">
      <w:pPr>
        <w:pStyle w:val="Heading1"/>
      </w:pPr>
      <w:r>
        <w:t>Abstract</w:t>
      </w:r>
    </w:p>
    <w:p w14:paraId="43525099" w14:textId="77777777" w:rsidR="006A62CE" w:rsidRDefault="00000000">
      <w:r>
        <w:t>Environmental objectivity and indefinite causal order are often discussed as signs of nonclassical structure, but they answer different operational questions. This article establishes a rigorous independence framework for that interface. Within a composite class containing fixed-order record circuits, the unaltered quantum switch, and deterministic record-augmented switch processes, environmental objectivity is neither necessary nor sufficient for causal nonseparability. The independence theorem is the organizing result: causal certification, redundant record formation, control-assisted information, and postselection effects must be evaluated separately. Supporting this separation, we derive a nonnegative access decomposition for a classical pointer label Λ, order control T, and fragment F; branchwise criteria for exact pointer preservation; and probability-weighted postselection bounds controlled by I(Λ:T|F). In a declared binary record model, coherent order leaves equal-prior Helstrom discrimination exactly neutral because the coherent conditional-difference operator adds only two null directions while preserving the nonzero singular values. This no-advantage theorem coexists with a resource-matched joint-access Holevo advantage of 0.083977 bit and with many-fragment diagnostics showing no coherent fragment-only redundancy advantage in the tested class. The work therefore gives a referee-checkable boundary principle: indefinite causal order can be a bounded, task-dependent, access-dependent information resource, but it is not a universal mechanism for objectivity. Computational validation uses four-qubit statevector, reduced-normal-form, and finite-shot ideal-sampling checks; no physical-device validation is claimed.</w:t>
      </w:r>
    </w:p>
    <w:p w14:paraId="47EAD34D" w14:textId="77777777" w:rsidR="006A62CE" w:rsidRDefault="00000000">
      <w:pPr>
        <w:pStyle w:val="Heading1"/>
      </w:pPr>
      <w:r>
        <w:t>I. Introduction</w:t>
      </w:r>
    </w:p>
    <w:p w14:paraId="16B90306" w14:textId="77777777" w:rsidR="006A62CE" w:rsidRDefault="00000000">
      <w:r>
        <w:t>Quantum Darwinism describes operational objectivity through redundant environmental records of a system pointer [1-8]. Process-matrix and higher-order-operation frameworks instead classify transformations and processes that cannot be reduced to a definite or probabilistic causal order [9-13,19]. These frameworks answer different questions. Objectivity asks which information is available in multiple disjoint fragments. Causal nonseparability asks whether the higher-order process connecting local laboratories lies outside the causally separable cone.</w:t>
      </w:r>
    </w:p>
    <w:p w14:paraId="52B5ACAF" w14:textId="77777777" w:rsidR="006A62CE" w:rsidRDefault="00000000">
      <w:r>
        <w:t>This work reframes the interface as an independence problem. The central result is that environmental objectivity and causal nonseparability are independent operational resources: neither structure implies the other, and evidence for one should not be used as evidence for the other. The remaining results support this organizing claim by identifying exactly where control-assisted information can reside, when pointer records survive controlled ordering, and why postselection cannot create unrestricted record gain.</w:t>
      </w:r>
    </w:p>
    <w:p w14:paraId="1EAE958F" w14:textId="77777777" w:rsidR="006A62CE" w:rsidRDefault="00000000">
      <w:r>
        <w:lastRenderedPageBreak/>
        <w:t>Why this matters now. Quantum-switch experiments and certification methods have advanced rapidly [15,21-23], while recent theoretical and experimental work has sharpened the conditions for Quantum Darwinism, strong objectivity, and spectrum-broadcast structure [17,18,20,24]. Without a separation theorem, a gain in one controlled-order task can be mistaken for improved objectivity, and a causal certificate can be mistaken for a record certificate. The present framework gives both communities a common diagnostic language: identify the accessible systems, specify the comparator, separate redundant records from joint control-fragment information, and certify causal structure independently.</w:t>
      </w:r>
    </w:p>
    <w:p w14:paraId="2AAC5C94" w14:textId="77777777" w:rsidR="006A62CE" w:rsidRDefault="00000000">
      <w:r>
        <w:t>The principal PRX Quantum case is an exceptional connection between environmental objectivity and indefinite causal order. The connection is not a claim that indefinite order universally improves objectivity. It is a boundary result: the paper shows which claims survive when access is restricted, when outcomes are postselected, which comparator is used, and when causal structure is certified independently. In this sense, the negative results are part of the advance because they prevent overinterpretation of controlled-order advantages in objectivity-oriented settings.</w:t>
      </w:r>
    </w:p>
    <w:p w14:paraId="31685423" w14:textId="77777777" w:rsidR="006A62CE" w:rsidRDefault="00000000">
      <w:r>
        <w:t>The main contribution is the logical-independence theorem, which constructively populates all four sectors: objective and causally separable, nonobjective and causally nonseparable, objective and causally nonseparable, and neither. The supporting results make the theorem operational: a control-access decomposition shows where extra information resides; branchwise preservation theorems identify when records survive controlled order; postselection identities impose probability-weighted budgets; Helstrom and Holevo benchmarks distinguish decision performance from joint information; and many-fragment diagnostics show that joint access does not automatically become redundant environmental objectivity. The record-augmented witness result is used as a supporting certification check rather than as the central novelty.</w:t>
      </w:r>
    </w:p>
    <w:p w14:paraId="0A70894D" w14:textId="77777777" w:rsidR="006A62CE" w:rsidRDefault="00000000">
      <w:r>
        <w:t>Scope is deliberately bounded. We do not claim an advantage over the full causally separable process cone, a universal enhancement of objectivity, a global distance-to-spectrum-broadcast theorem, or physical-device validation. These limitations are part of the stated comparator hierarchy rather than omissions: the manuscript separates what is proved in the matched family from what would require a full-cone optimization or a hardware experiment.</w:t>
      </w:r>
    </w:p>
    <w:p w14:paraId="1A50067F" w14:textId="77777777" w:rsidR="006A62CE" w:rsidRDefault="00000000">
      <w:pPr>
        <w:jc w:val="center"/>
      </w:pPr>
      <w:r>
        <w:rPr>
          <w:b/>
          <w:sz w:val="18"/>
        </w:rPr>
        <w:t>Table I. Theorem roadmap and logical architecture.</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1DF6CA7F" w14:textId="77777777">
        <w:trPr>
          <w:jc w:val="center"/>
        </w:trPr>
        <w:tc>
          <w:tcPr>
            <w:tcW w:w="2469" w:type="dxa"/>
            <w:shd w:val="clear" w:color="auto" w:fill="D9EAF7"/>
            <w:tcMar>
              <w:top w:w="90" w:type="dxa"/>
              <w:left w:w="90" w:type="dxa"/>
              <w:bottom w:w="90" w:type="dxa"/>
              <w:right w:w="90" w:type="dxa"/>
            </w:tcMar>
            <w:vAlign w:val="center"/>
          </w:tcPr>
          <w:p w14:paraId="0B160078" w14:textId="77777777" w:rsidR="006A62CE" w:rsidRDefault="00000000">
            <w:r>
              <w:rPr>
                <w:rFonts w:ascii="Arial" w:hAnsi="Arial"/>
                <w:b/>
                <w:sz w:val="17"/>
              </w:rPr>
              <w:t>Layer</w:t>
            </w:r>
          </w:p>
        </w:tc>
        <w:tc>
          <w:tcPr>
            <w:tcW w:w="2469" w:type="dxa"/>
            <w:shd w:val="clear" w:color="auto" w:fill="D9EAF7"/>
            <w:tcMar>
              <w:top w:w="90" w:type="dxa"/>
              <w:left w:w="90" w:type="dxa"/>
              <w:bottom w:w="90" w:type="dxa"/>
              <w:right w:w="90" w:type="dxa"/>
            </w:tcMar>
            <w:vAlign w:val="center"/>
          </w:tcPr>
          <w:p w14:paraId="661CB643" w14:textId="77777777" w:rsidR="006A62CE" w:rsidRDefault="00000000">
            <w:r>
              <w:rPr>
                <w:rFonts w:ascii="Arial" w:hAnsi="Arial"/>
                <w:b/>
                <w:sz w:val="17"/>
              </w:rPr>
              <w:t>Question</w:t>
            </w:r>
          </w:p>
        </w:tc>
        <w:tc>
          <w:tcPr>
            <w:tcW w:w="2469" w:type="dxa"/>
            <w:shd w:val="clear" w:color="auto" w:fill="D9EAF7"/>
            <w:tcMar>
              <w:top w:w="90" w:type="dxa"/>
              <w:left w:w="90" w:type="dxa"/>
              <w:bottom w:w="90" w:type="dxa"/>
              <w:right w:w="90" w:type="dxa"/>
            </w:tcMar>
            <w:vAlign w:val="center"/>
          </w:tcPr>
          <w:p w14:paraId="76890ACB" w14:textId="77777777" w:rsidR="006A62CE" w:rsidRDefault="00000000">
            <w:r>
              <w:rPr>
                <w:rFonts w:ascii="Arial" w:hAnsi="Arial"/>
                <w:b/>
                <w:sz w:val="17"/>
              </w:rPr>
              <w:t>Core result</w:t>
            </w:r>
          </w:p>
        </w:tc>
        <w:tc>
          <w:tcPr>
            <w:tcW w:w="2469" w:type="dxa"/>
            <w:shd w:val="clear" w:color="auto" w:fill="D9EAF7"/>
            <w:tcMar>
              <w:top w:w="90" w:type="dxa"/>
              <w:left w:w="90" w:type="dxa"/>
              <w:bottom w:w="90" w:type="dxa"/>
              <w:right w:w="90" w:type="dxa"/>
            </w:tcMar>
            <w:vAlign w:val="center"/>
          </w:tcPr>
          <w:p w14:paraId="02700184" w14:textId="77777777" w:rsidR="006A62CE" w:rsidRDefault="00000000">
            <w:r>
              <w:rPr>
                <w:rFonts w:ascii="Arial" w:hAnsi="Arial"/>
                <w:b/>
                <w:sz w:val="17"/>
              </w:rPr>
              <w:t>Location</w:t>
            </w:r>
          </w:p>
        </w:tc>
      </w:tr>
      <w:tr w:rsidR="006A62CE" w14:paraId="44CEAC7E" w14:textId="77777777">
        <w:trPr>
          <w:jc w:val="center"/>
        </w:trPr>
        <w:tc>
          <w:tcPr>
            <w:tcW w:w="2469" w:type="dxa"/>
            <w:tcMar>
              <w:top w:w="90" w:type="dxa"/>
              <w:left w:w="90" w:type="dxa"/>
              <w:bottom w:w="90" w:type="dxa"/>
              <w:right w:w="90" w:type="dxa"/>
            </w:tcMar>
            <w:vAlign w:val="center"/>
          </w:tcPr>
          <w:p w14:paraId="1FC31DB1" w14:textId="77777777" w:rsidR="006A62CE" w:rsidRDefault="00000000">
            <w:pPr>
              <w:spacing w:after="0"/>
            </w:pPr>
            <w:r>
              <w:rPr>
                <w:sz w:val="16"/>
              </w:rPr>
              <w:t>Independence</w:t>
            </w:r>
          </w:p>
        </w:tc>
        <w:tc>
          <w:tcPr>
            <w:tcW w:w="2469" w:type="dxa"/>
            <w:tcMar>
              <w:top w:w="90" w:type="dxa"/>
              <w:left w:w="90" w:type="dxa"/>
              <w:bottom w:w="90" w:type="dxa"/>
              <w:right w:w="90" w:type="dxa"/>
            </w:tcMar>
            <w:vAlign w:val="center"/>
          </w:tcPr>
          <w:p w14:paraId="1B56D895" w14:textId="77777777" w:rsidR="006A62CE" w:rsidRDefault="00000000">
            <w:pPr>
              <w:spacing w:after="0"/>
            </w:pPr>
            <w:r>
              <w:rPr>
                <w:sz w:val="16"/>
              </w:rPr>
              <w:t>Do objectivity and causal nonseparability imply one another?</w:t>
            </w:r>
          </w:p>
        </w:tc>
        <w:tc>
          <w:tcPr>
            <w:tcW w:w="2469" w:type="dxa"/>
            <w:tcMar>
              <w:top w:w="90" w:type="dxa"/>
              <w:left w:w="90" w:type="dxa"/>
              <w:bottom w:w="90" w:type="dxa"/>
              <w:right w:w="90" w:type="dxa"/>
            </w:tcMar>
            <w:vAlign w:val="center"/>
          </w:tcPr>
          <w:p w14:paraId="6DBF9854" w14:textId="77777777" w:rsidR="006A62CE" w:rsidRDefault="00000000">
            <w:pPr>
              <w:spacing w:after="0"/>
            </w:pPr>
            <w:r>
              <w:rPr>
                <w:sz w:val="16"/>
              </w:rPr>
              <w:t>No; all four logical sectors are constructively populated.</w:t>
            </w:r>
          </w:p>
        </w:tc>
        <w:tc>
          <w:tcPr>
            <w:tcW w:w="2469" w:type="dxa"/>
            <w:tcMar>
              <w:top w:w="90" w:type="dxa"/>
              <w:left w:w="90" w:type="dxa"/>
              <w:bottom w:w="90" w:type="dxa"/>
              <w:right w:w="90" w:type="dxa"/>
            </w:tcMar>
            <w:vAlign w:val="center"/>
          </w:tcPr>
          <w:p w14:paraId="6A43C44D" w14:textId="77777777" w:rsidR="006A62CE" w:rsidRDefault="00000000">
            <w:pPr>
              <w:spacing w:after="0"/>
            </w:pPr>
            <w:r>
              <w:rPr>
                <w:sz w:val="16"/>
              </w:rPr>
              <w:t>Theorem 1</w:t>
            </w:r>
          </w:p>
        </w:tc>
      </w:tr>
      <w:tr w:rsidR="006A62CE" w14:paraId="55BB62BE" w14:textId="77777777">
        <w:trPr>
          <w:jc w:val="center"/>
        </w:trPr>
        <w:tc>
          <w:tcPr>
            <w:tcW w:w="2469" w:type="dxa"/>
            <w:tcMar>
              <w:top w:w="90" w:type="dxa"/>
              <w:left w:w="90" w:type="dxa"/>
              <w:bottom w:w="90" w:type="dxa"/>
              <w:right w:w="90" w:type="dxa"/>
            </w:tcMar>
            <w:vAlign w:val="center"/>
          </w:tcPr>
          <w:p w14:paraId="47BC348A" w14:textId="77777777" w:rsidR="006A62CE" w:rsidRDefault="00000000">
            <w:pPr>
              <w:spacing w:after="0"/>
            </w:pPr>
            <w:r>
              <w:rPr>
                <w:sz w:val="16"/>
              </w:rPr>
              <w:t>Decision task</w:t>
            </w:r>
          </w:p>
        </w:tc>
        <w:tc>
          <w:tcPr>
            <w:tcW w:w="2469" w:type="dxa"/>
            <w:tcMar>
              <w:top w:w="90" w:type="dxa"/>
              <w:left w:w="90" w:type="dxa"/>
              <w:bottom w:w="90" w:type="dxa"/>
              <w:right w:w="90" w:type="dxa"/>
            </w:tcMar>
            <w:vAlign w:val="center"/>
          </w:tcPr>
          <w:p w14:paraId="1A387903" w14:textId="77777777" w:rsidR="006A62CE" w:rsidRDefault="00000000">
            <w:pPr>
              <w:spacing w:after="0"/>
            </w:pPr>
            <w:r>
              <w:rPr>
                <w:sz w:val="16"/>
              </w:rPr>
              <w:t>Does coherent order improve equal-prior binary discrimination?</w:t>
            </w:r>
          </w:p>
        </w:tc>
        <w:tc>
          <w:tcPr>
            <w:tcW w:w="2469" w:type="dxa"/>
            <w:tcMar>
              <w:top w:w="90" w:type="dxa"/>
              <w:left w:w="90" w:type="dxa"/>
              <w:bottom w:w="90" w:type="dxa"/>
              <w:right w:w="90" w:type="dxa"/>
            </w:tcMar>
            <w:vAlign w:val="center"/>
          </w:tcPr>
          <w:p w14:paraId="03872AA1" w14:textId="77777777" w:rsidR="006A62CE" w:rsidRDefault="00000000">
            <w:pPr>
              <w:spacing w:after="0"/>
            </w:pPr>
            <w:r>
              <w:rPr>
                <w:sz w:val="16"/>
              </w:rPr>
              <w:t>No in the declared binary model; the trace norm is exactly unchanged.</w:t>
            </w:r>
          </w:p>
        </w:tc>
        <w:tc>
          <w:tcPr>
            <w:tcW w:w="2469" w:type="dxa"/>
            <w:tcMar>
              <w:top w:w="90" w:type="dxa"/>
              <w:left w:w="90" w:type="dxa"/>
              <w:bottom w:w="90" w:type="dxa"/>
              <w:right w:w="90" w:type="dxa"/>
            </w:tcMar>
            <w:vAlign w:val="center"/>
          </w:tcPr>
          <w:p w14:paraId="737B215A" w14:textId="77777777" w:rsidR="006A62CE" w:rsidRDefault="00000000">
            <w:pPr>
              <w:spacing w:after="0"/>
            </w:pPr>
            <w:r>
              <w:rPr>
                <w:sz w:val="16"/>
              </w:rPr>
              <w:t>Sec. VI</w:t>
            </w:r>
          </w:p>
        </w:tc>
      </w:tr>
      <w:tr w:rsidR="006A62CE" w14:paraId="5397A395" w14:textId="77777777">
        <w:trPr>
          <w:jc w:val="center"/>
        </w:trPr>
        <w:tc>
          <w:tcPr>
            <w:tcW w:w="2469" w:type="dxa"/>
            <w:tcMar>
              <w:top w:w="90" w:type="dxa"/>
              <w:left w:w="90" w:type="dxa"/>
              <w:bottom w:w="90" w:type="dxa"/>
              <w:right w:w="90" w:type="dxa"/>
            </w:tcMar>
            <w:vAlign w:val="center"/>
          </w:tcPr>
          <w:p w14:paraId="10C80657" w14:textId="77777777" w:rsidR="006A62CE" w:rsidRDefault="00000000">
            <w:pPr>
              <w:spacing w:after="0"/>
            </w:pPr>
            <w:r>
              <w:rPr>
                <w:sz w:val="16"/>
              </w:rPr>
              <w:t>Access and preservation</w:t>
            </w:r>
          </w:p>
        </w:tc>
        <w:tc>
          <w:tcPr>
            <w:tcW w:w="2469" w:type="dxa"/>
            <w:tcMar>
              <w:top w:w="90" w:type="dxa"/>
              <w:left w:w="90" w:type="dxa"/>
              <w:bottom w:w="90" w:type="dxa"/>
              <w:right w:w="90" w:type="dxa"/>
            </w:tcMar>
            <w:vAlign w:val="center"/>
          </w:tcPr>
          <w:p w14:paraId="64A7FFFC" w14:textId="77777777" w:rsidR="006A62CE" w:rsidRDefault="00000000">
            <w:pPr>
              <w:spacing w:after="0"/>
            </w:pPr>
            <w:r>
              <w:rPr>
                <w:sz w:val="16"/>
              </w:rPr>
              <w:t>Where can extra information reside, and when is the pointer preserved?</w:t>
            </w:r>
          </w:p>
        </w:tc>
        <w:tc>
          <w:tcPr>
            <w:tcW w:w="2469" w:type="dxa"/>
            <w:tcMar>
              <w:top w:w="90" w:type="dxa"/>
              <w:left w:w="90" w:type="dxa"/>
              <w:bottom w:w="90" w:type="dxa"/>
              <w:right w:w="90" w:type="dxa"/>
            </w:tcMar>
            <w:vAlign w:val="center"/>
          </w:tcPr>
          <w:p w14:paraId="1C145239" w14:textId="77777777" w:rsidR="006A62CE" w:rsidRDefault="00000000">
            <w:pPr>
              <w:spacing w:after="0"/>
            </w:pPr>
            <w:r>
              <w:rPr>
                <w:sz w:val="16"/>
              </w:rPr>
              <w:t>Nonnegative access decomposition and branchwise preservation criteria.</w:t>
            </w:r>
          </w:p>
        </w:tc>
        <w:tc>
          <w:tcPr>
            <w:tcW w:w="2469" w:type="dxa"/>
            <w:tcMar>
              <w:top w:w="90" w:type="dxa"/>
              <w:left w:w="90" w:type="dxa"/>
              <w:bottom w:w="90" w:type="dxa"/>
              <w:right w:w="90" w:type="dxa"/>
            </w:tcMar>
            <w:vAlign w:val="center"/>
          </w:tcPr>
          <w:p w14:paraId="52A308DB" w14:textId="77777777" w:rsidR="006A62CE" w:rsidRDefault="00000000">
            <w:pPr>
              <w:spacing w:after="0"/>
            </w:pPr>
            <w:r>
              <w:rPr>
                <w:sz w:val="16"/>
              </w:rPr>
              <w:t>Theorems 2-4</w:t>
            </w:r>
          </w:p>
        </w:tc>
      </w:tr>
      <w:tr w:rsidR="006A62CE" w14:paraId="2AD1301E" w14:textId="77777777">
        <w:trPr>
          <w:jc w:val="center"/>
        </w:trPr>
        <w:tc>
          <w:tcPr>
            <w:tcW w:w="2469" w:type="dxa"/>
            <w:tcMar>
              <w:top w:w="90" w:type="dxa"/>
              <w:left w:w="90" w:type="dxa"/>
              <w:bottom w:w="90" w:type="dxa"/>
              <w:right w:w="90" w:type="dxa"/>
            </w:tcMar>
            <w:vAlign w:val="center"/>
          </w:tcPr>
          <w:p w14:paraId="7B6B65CA" w14:textId="77777777" w:rsidR="006A62CE" w:rsidRDefault="00000000">
            <w:pPr>
              <w:spacing w:after="0"/>
            </w:pPr>
            <w:r>
              <w:rPr>
                <w:sz w:val="16"/>
              </w:rPr>
              <w:t>Operational limits</w:t>
            </w:r>
          </w:p>
        </w:tc>
        <w:tc>
          <w:tcPr>
            <w:tcW w:w="2469" w:type="dxa"/>
            <w:tcMar>
              <w:top w:w="90" w:type="dxa"/>
              <w:left w:w="90" w:type="dxa"/>
              <w:bottom w:w="90" w:type="dxa"/>
              <w:right w:w="90" w:type="dxa"/>
            </w:tcMar>
            <w:vAlign w:val="center"/>
          </w:tcPr>
          <w:p w14:paraId="622CEE57" w14:textId="77777777" w:rsidR="006A62CE" w:rsidRDefault="00000000">
            <w:pPr>
              <w:spacing w:after="0"/>
            </w:pPr>
            <w:r>
              <w:rPr>
                <w:sz w:val="16"/>
              </w:rPr>
              <w:t>Can measurement or postselection create unrestricted record gain?</w:t>
            </w:r>
          </w:p>
        </w:tc>
        <w:tc>
          <w:tcPr>
            <w:tcW w:w="2469" w:type="dxa"/>
            <w:tcMar>
              <w:top w:w="90" w:type="dxa"/>
              <w:left w:w="90" w:type="dxa"/>
              <w:bottom w:w="90" w:type="dxa"/>
              <w:right w:w="90" w:type="dxa"/>
            </w:tcMar>
            <w:vAlign w:val="center"/>
          </w:tcPr>
          <w:p w14:paraId="70C07876" w14:textId="77777777" w:rsidR="006A62CE" w:rsidRDefault="00000000">
            <w:pPr>
              <w:spacing w:after="0"/>
            </w:pPr>
            <w:r>
              <w:rPr>
                <w:sz w:val="16"/>
              </w:rPr>
              <w:t>No; average and selected gains obey probability-weighted budgets.</w:t>
            </w:r>
          </w:p>
        </w:tc>
        <w:tc>
          <w:tcPr>
            <w:tcW w:w="2469" w:type="dxa"/>
            <w:tcMar>
              <w:top w:w="90" w:type="dxa"/>
              <w:left w:w="90" w:type="dxa"/>
              <w:bottom w:w="90" w:type="dxa"/>
              <w:right w:w="90" w:type="dxa"/>
            </w:tcMar>
            <w:vAlign w:val="center"/>
          </w:tcPr>
          <w:p w14:paraId="22DA468C" w14:textId="77777777" w:rsidR="006A62CE" w:rsidRDefault="00000000">
            <w:pPr>
              <w:spacing w:after="0"/>
            </w:pPr>
            <w:r>
              <w:rPr>
                <w:sz w:val="16"/>
              </w:rPr>
              <w:t>Theorems 5-6</w:t>
            </w:r>
          </w:p>
        </w:tc>
      </w:tr>
      <w:tr w:rsidR="006A62CE" w14:paraId="53AB57EC" w14:textId="77777777">
        <w:trPr>
          <w:jc w:val="center"/>
        </w:trPr>
        <w:tc>
          <w:tcPr>
            <w:tcW w:w="2469" w:type="dxa"/>
            <w:tcMar>
              <w:top w:w="90" w:type="dxa"/>
              <w:left w:w="90" w:type="dxa"/>
              <w:bottom w:w="90" w:type="dxa"/>
              <w:right w:w="90" w:type="dxa"/>
            </w:tcMar>
            <w:vAlign w:val="center"/>
          </w:tcPr>
          <w:p w14:paraId="4EC17A0F" w14:textId="77777777" w:rsidR="00B014A9" w:rsidRDefault="00000000">
            <w:pPr>
              <w:spacing w:after="40" w:line="240" w:lineRule="auto"/>
            </w:pPr>
            <w:r>
              <w:t>Supporting certification and test</w:t>
            </w:r>
          </w:p>
        </w:tc>
        <w:tc>
          <w:tcPr>
            <w:tcW w:w="2469" w:type="dxa"/>
            <w:tcMar>
              <w:top w:w="90" w:type="dxa"/>
              <w:left w:w="90" w:type="dxa"/>
              <w:bottom w:w="90" w:type="dxa"/>
              <w:right w:w="90" w:type="dxa"/>
            </w:tcMar>
            <w:vAlign w:val="center"/>
          </w:tcPr>
          <w:p w14:paraId="6F74607F" w14:textId="77777777" w:rsidR="00B014A9" w:rsidRDefault="00000000">
            <w:pPr>
              <w:spacing w:after="40" w:line="240" w:lineRule="auto"/>
            </w:pPr>
            <w:r>
              <w:t>Does deterministic record augmentation preserve an existing causal certificate?</w:t>
            </w:r>
          </w:p>
        </w:tc>
        <w:tc>
          <w:tcPr>
            <w:tcW w:w="2469" w:type="dxa"/>
            <w:tcMar>
              <w:top w:w="90" w:type="dxa"/>
              <w:left w:w="90" w:type="dxa"/>
              <w:bottom w:w="90" w:type="dxa"/>
              <w:right w:w="90" w:type="dxa"/>
            </w:tcMar>
            <w:vAlign w:val="center"/>
          </w:tcPr>
          <w:p w14:paraId="5EA6DA2D" w14:textId="77777777" w:rsidR="00B014A9" w:rsidRDefault="00000000">
            <w:pPr>
              <w:spacing w:after="40" w:line="240" w:lineRule="auto"/>
            </w:pPr>
            <w:r>
              <w:t>Yes under deterministic local recovery; used as a supporting witness-pullback check.</w:t>
            </w:r>
          </w:p>
        </w:tc>
        <w:tc>
          <w:tcPr>
            <w:tcW w:w="2469" w:type="dxa"/>
            <w:tcMar>
              <w:top w:w="90" w:type="dxa"/>
              <w:left w:w="90" w:type="dxa"/>
              <w:bottom w:w="90" w:type="dxa"/>
              <w:right w:w="90" w:type="dxa"/>
            </w:tcMar>
            <w:vAlign w:val="center"/>
          </w:tcPr>
          <w:p w14:paraId="420CDBDF" w14:textId="77777777" w:rsidR="00B014A9" w:rsidRDefault="00000000">
            <w:pPr>
              <w:spacing w:after="40" w:line="240" w:lineRule="auto"/>
            </w:pPr>
            <w:r>
              <w:t>Proposition 1 and Sec. IX</w:t>
            </w:r>
          </w:p>
        </w:tc>
      </w:tr>
    </w:tbl>
    <w:p w14:paraId="6F58D56B" w14:textId="77777777" w:rsidR="006A62CE" w:rsidRDefault="006A62CE">
      <w:pPr>
        <w:spacing w:after="20"/>
      </w:pPr>
    </w:p>
    <w:p w14:paraId="3E005E29" w14:textId="77777777" w:rsidR="006A62CE" w:rsidRDefault="00000000">
      <w:pPr>
        <w:pStyle w:val="Heading1"/>
      </w:pPr>
      <w:r>
        <w:t>II. Operational setting and notation</w:t>
      </w:r>
    </w:p>
    <w:p w14:paraId="2F292123" w14:textId="77777777" w:rsidR="006A62CE" w:rsidRDefault="00000000">
      <w:pPr>
        <w:pStyle w:val="Heading2"/>
      </w:pPr>
      <w:r>
        <w:t>A. Global assumptions</w:t>
      </w:r>
    </w:p>
    <w:p w14:paraId="57E9182D" w14:textId="77777777" w:rsidR="006A62CE" w:rsidRDefault="00000000">
      <w:r>
        <w:t xml:space="preserve">All Hilbert spaces are finite dimensional. Logarithms are base two, so information quantities are measured in bits. The trace norm is ||X||₁=Tr√(X†X). Unless otherwise stated, the binary decision problem uses equal priors. Classical </w:t>
      </w:r>
      <w:r>
        <w:lastRenderedPageBreak/>
        <w:t>registers are represented by orthogonal basis states, and conditional mutual information is I(A:B|C)=S(AC)+S(BC)-S(C)-S(ABC).</w:t>
      </w:r>
    </w:p>
    <w:p w14:paraId="245155BC" w14:textId="77777777" w:rsidR="006A62CE" w:rsidRDefault="00000000">
      <w:pPr>
        <w:jc w:val="center"/>
      </w:pPr>
      <w:r>
        <w:rPr>
          <w:b/>
          <w:sz w:val="18"/>
        </w:rPr>
        <w:t>Table II. Principal notation and conventions.</w:t>
      </w:r>
    </w:p>
    <w:tbl>
      <w:tblPr>
        <w:tblStyle w:val="TableGrid"/>
        <w:tblW w:w="0" w:type="auto"/>
        <w:jc w:val="center"/>
        <w:tblLook w:val="04A0" w:firstRow="1" w:lastRow="0" w:firstColumn="1" w:lastColumn="0" w:noHBand="0" w:noVBand="1"/>
      </w:tblPr>
      <w:tblGrid>
        <w:gridCol w:w="4939"/>
        <w:gridCol w:w="4939"/>
      </w:tblGrid>
      <w:tr w:rsidR="006A62CE" w14:paraId="5E087B8A" w14:textId="77777777">
        <w:trPr>
          <w:jc w:val="center"/>
        </w:trPr>
        <w:tc>
          <w:tcPr>
            <w:tcW w:w="4939" w:type="dxa"/>
            <w:shd w:val="clear" w:color="auto" w:fill="D9EAF7"/>
            <w:tcMar>
              <w:top w:w="90" w:type="dxa"/>
              <w:left w:w="90" w:type="dxa"/>
              <w:bottom w:w="90" w:type="dxa"/>
              <w:right w:w="90" w:type="dxa"/>
            </w:tcMar>
            <w:vAlign w:val="center"/>
          </w:tcPr>
          <w:p w14:paraId="5F52C98A" w14:textId="77777777" w:rsidR="006A62CE" w:rsidRDefault="00000000">
            <w:r>
              <w:rPr>
                <w:rFonts w:ascii="Arial" w:hAnsi="Arial"/>
                <w:b/>
                <w:sz w:val="17"/>
              </w:rPr>
              <w:t>Symbol</w:t>
            </w:r>
          </w:p>
        </w:tc>
        <w:tc>
          <w:tcPr>
            <w:tcW w:w="4939" w:type="dxa"/>
            <w:shd w:val="clear" w:color="auto" w:fill="D9EAF7"/>
            <w:tcMar>
              <w:top w:w="90" w:type="dxa"/>
              <w:left w:w="90" w:type="dxa"/>
              <w:bottom w:w="90" w:type="dxa"/>
              <w:right w:w="90" w:type="dxa"/>
            </w:tcMar>
            <w:vAlign w:val="center"/>
          </w:tcPr>
          <w:p w14:paraId="060A8E79" w14:textId="77777777" w:rsidR="006A62CE" w:rsidRDefault="00000000">
            <w:r>
              <w:rPr>
                <w:rFonts w:ascii="Arial" w:hAnsi="Arial"/>
                <w:b/>
                <w:sz w:val="17"/>
              </w:rPr>
              <w:t>Meaning</w:t>
            </w:r>
          </w:p>
        </w:tc>
      </w:tr>
      <w:tr w:rsidR="006A62CE" w14:paraId="45DA685D" w14:textId="77777777">
        <w:trPr>
          <w:jc w:val="center"/>
        </w:trPr>
        <w:tc>
          <w:tcPr>
            <w:tcW w:w="4939" w:type="dxa"/>
            <w:tcMar>
              <w:top w:w="90" w:type="dxa"/>
              <w:left w:w="90" w:type="dxa"/>
              <w:bottom w:w="90" w:type="dxa"/>
              <w:right w:w="90" w:type="dxa"/>
            </w:tcMar>
            <w:vAlign w:val="center"/>
          </w:tcPr>
          <w:p w14:paraId="06785732" w14:textId="77777777" w:rsidR="006A62CE" w:rsidRDefault="00000000">
            <w:pPr>
              <w:spacing w:after="0"/>
            </w:pPr>
            <w:r>
              <w:rPr>
                <w:sz w:val="16"/>
              </w:rPr>
              <w:t>Λ</w:t>
            </w:r>
          </w:p>
        </w:tc>
        <w:tc>
          <w:tcPr>
            <w:tcW w:w="4939" w:type="dxa"/>
            <w:tcMar>
              <w:top w:w="90" w:type="dxa"/>
              <w:left w:w="90" w:type="dxa"/>
              <w:bottom w:w="90" w:type="dxa"/>
              <w:right w:w="90" w:type="dxa"/>
            </w:tcMar>
            <w:vAlign w:val="center"/>
          </w:tcPr>
          <w:p w14:paraId="51B5C885" w14:textId="77777777" w:rsidR="006A62CE" w:rsidRDefault="00000000">
            <w:pPr>
              <w:spacing w:after="0"/>
            </w:pPr>
            <w:r>
              <w:rPr>
                <w:sz w:val="16"/>
              </w:rPr>
              <w:t>Classical pointer label with prior qλ</w:t>
            </w:r>
          </w:p>
        </w:tc>
      </w:tr>
      <w:tr w:rsidR="006A62CE" w14:paraId="5508174B" w14:textId="77777777">
        <w:trPr>
          <w:jc w:val="center"/>
        </w:trPr>
        <w:tc>
          <w:tcPr>
            <w:tcW w:w="4939" w:type="dxa"/>
            <w:tcMar>
              <w:top w:w="90" w:type="dxa"/>
              <w:left w:w="90" w:type="dxa"/>
              <w:bottom w:w="90" w:type="dxa"/>
              <w:right w:w="90" w:type="dxa"/>
            </w:tcMar>
            <w:vAlign w:val="center"/>
          </w:tcPr>
          <w:p w14:paraId="66E28DA7" w14:textId="77777777" w:rsidR="006A62CE" w:rsidRDefault="00000000">
            <w:pPr>
              <w:spacing w:after="0"/>
            </w:pPr>
            <w:r>
              <w:rPr>
                <w:sz w:val="16"/>
              </w:rPr>
              <w:t>T</w:t>
            </w:r>
          </w:p>
        </w:tc>
        <w:tc>
          <w:tcPr>
            <w:tcW w:w="4939" w:type="dxa"/>
            <w:tcMar>
              <w:top w:w="90" w:type="dxa"/>
              <w:left w:w="90" w:type="dxa"/>
              <w:bottom w:w="90" w:type="dxa"/>
              <w:right w:w="90" w:type="dxa"/>
            </w:tcMar>
            <w:vAlign w:val="center"/>
          </w:tcPr>
          <w:p w14:paraId="1C611FA7" w14:textId="77777777" w:rsidR="006A62CE" w:rsidRDefault="00000000">
            <w:pPr>
              <w:spacing w:after="0"/>
            </w:pPr>
            <w:r>
              <w:rPr>
                <w:sz w:val="16"/>
              </w:rPr>
              <w:t>Quantum order-control system</w:t>
            </w:r>
          </w:p>
        </w:tc>
      </w:tr>
      <w:tr w:rsidR="006A62CE" w14:paraId="1DA26C17" w14:textId="77777777">
        <w:trPr>
          <w:jc w:val="center"/>
        </w:trPr>
        <w:tc>
          <w:tcPr>
            <w:tcW w:w="4939" w:type="dxa"/>
            <w:tcMar>
              <w:top w:w="90" w:type="dxa"/>
              <w:left w:w="90" w:type="dxa"/>
              <w:bottom w:w="90" w:type="dxa"/>
              <w:right w:w="90" w:type="dxa"/>
            </w:tcMar>
            <w:vAlign w:val="center"/>
          </w:tcPr>
          <w:p w14:paraId="327278FB" w14:textId="77777777" w:rsidR="006A62CE" w:rsidRDefault="00000000">
            <w:pPr>
              <w:spacing w:after="0"/>
            </w:pPr>
            <w:r>
              <w:rPr>
                <w:sz w:val="16"/>
              </w:rPr>
              <w:t>F</w:t>
            </w:r>
          </w:p>
        </w:tc>
        <w:tc>
          <w:tcPr>
            <w:tcW w:w="4939" w:type="dxa"/>
            <w:tcMar>
              <w:top w:w="90" w:type="dxa"/>
              <w:left w:w="90" w:type="dxa"/>
              <w:bottom w:w="90" w:type="dxa"/>
              <w:right w:w="90" w:type="dxa"/>
            </w:tcMar>
            <w:vAlign w:val="center"/>
          </w:tcPr>
          <w:p w14:paraId="6C97FBC3" w14:textId="77777777" w:rsidR="006A62CE" w:rsidRDefault="00000000">
            <w:pPr>
              <w:spacing w:after="0"/>
            </w:pPr>
            <w:r>
              <w:rPr>
                <w:sz w:val="16"/>
              </w:rPr>
              <w:t>Accessible environmental fragment</w:t>
            </w:r>
          </w:p>
        </w:tc>
      </w:tr>
      <w:tr w:rsidR="006A62CE" w14:paraId="311230A8" w14:textId="77777777">
        <w:trPr>
          <w:jc w:val="center"/>
        </w:trPr>
        <w:tc>
          <w:tcPr>
            <w:tcW w:w="4939" w:type="dxa"/>
            <w:tcMar>
              <w:top w:w="90" w:type="dxa"/>
              <w:left w:w="90" w:type="dxa"/>
              <w:bottom w:w="90" w:type="dxa"/>
              <w:right w:w="90" w:type="dxa"/>
            </w:tcMar>
            <w:vAlign w:val="center"/>
          </w:tcPr>
          <w:p w14:paraId="7B1978C2" w14:textId="77777777" w:rsidR="006A62CE" w:rsidRDefault="00000000">
            <w:pPr>
              <w:spacing w:after="0"/>
            </w:pPr>
            <w:r>
              <w:rPr>
                <w:sz w:val="16"/>
              </w:rPr>
              <w:t>E₁,E₂</w:t>
            </w:r>
          </w:p>
        </w:tc>
        <w:tc>
          <w:tcPr>
            <w:tcW w:w="4939" w:type="dxa"/>
            <w:tcMar>
              <w:top w:w="90" w:type="dxa"/>
              <w:left w:w="90" w:type="dxa"/>
              <w:bottom w:w="90" w:type="dxa"/>
              <w:right w:w="90" w:type="dxa"/>
            </w:tcMar>
            <w:vAlign w:val="center"/>
          </w:tcPr>
          <w:p w14:paraId="1B3A927B" w14:textId="77777777" w:rsidR="006A62CE" w:rsidRDefault="00000000">
            <w:pPr>
              <w:spacing w:after="0"/>
            </w:pPr>
            <w:r>
              <w:rPr>
                <w:sz w:val="16"/>
              </w:rPr>
              <w:t>Record subsystems written by the two local interactions</w:t>
            </w:r>
          </w:p>
        </w:tc>
      </w:tr>
      <w:tr w:rsidR="006A62CE" w14:paraId="15B5EC92" w14:textId="77777777">
        <w:trPr>
          <w:jc w:val="center"/>
        </w:trPr>
        <w:tc>
          <w:tcPr>
            <w:tcW w:w="4939" w:type="dxa"/>
            <w:tcMar>
              <w:top w:w="90" w:type="dxa"/>
              <w:left w:w="90" w:type="dxa"/>
              <w:bottom w:w="90" w:type="dxa"/>
              <w:right w:w="90" w:type="dxa"/>
            </w:tcMar>
            <w:vAlign w:val="center"/>
          </w:tcPr>
          <w:p w14:paraId="21E16ACF" w14:textId="77777777" w:rsidR="006A62CE" w:rsidRDefault="00000000">
            <w:pPr>
              <w:spacing w:after="0"/>
            </w:pPr>
            <w:r>
              <w:rPr>
                <w:sz w:val="16"/>
              </w:rPr>
              <w:t>U_A,U_B</w:t>
            </w:r>
          </w:p>
        </w:tc>
        <w:tc>
          <w:tcPr>
            <w:tcW w:w="4939" w:type="dxa"/>
            <w:tcMar>
              <w:top w:w="90" w:type="dxa"/>
              <w:left w:w="90" w:type="dxa"/>
              <w:bottom w:w="90" w:type="dxa"/>
              <w:right w:w="90" w:type="dxa"/>
            </w:tcMar>
            <w:vAlign w:val="center"/>
          </w:tcPr>
          <w:p w14:paraId="5FCB4F81" w14:textId="77777777" w:rsidR="006A62CE" w:rsidRDefault="00000000">
            <w:pPr>
              <w:spacing w:after="0"/>
            </w:pPr>
            <w:r>
              <w:rPr>
                <w:sz w:val="16"/>
              </w:rPr>
              <w:t>Record-generating local unitaries</w:t>
            </w:r>
          </w:p>
        </w:tc>
      </w:tr>
      <w:tr w:rsidR="006A62CE" w14:paraId="30A4B1AB" w14:textId="77777777">
        <w:trPr>
          <w:jc w:val="center"/>
        </w:trPr>
        <w:tc>
          <w:tcPr>
            <w:tcW w:w="4939" w:type="dxa"/>
            <w:tcMar>
              <w:top w:w="90" w:type="dxa"/>
              <w:left w:w="90" w:type="dxa"/>
              <w:bottom w:w="90" w:type="dxa"/>
              <w:right w:w="90" w:type="dxa"/>
            </w:tcMar>
            <w:vAlign w:val="center"/>
          </w:tcPr>
          <w:p w14:paraId="7F41554F" w14:textId="77777777" w:rsidR="006A62CE" w:rsidRDefault="00000000">
            <w:pPr>
              <w:spacing w:after="0"/>
            </w:pPr>
            <w:r>
              <w:rPr>
                <w:sz w:val="16"/>
              </w:rPr>
              <w:t>Qλ</w:t>
            </w:r>
          </w:p>
        </w:tc>
        <w:tc>
          <w:tcPr>
            <w:tcW w:w="4939" w:type="dxa"/>
            <w:tcMar>
              <w:top w:w="90" w:type="dxa"/>
              <w:left w:w="90" w:type="dxa"/>
              <w:bottom w:w="90" w:type="dxa"/>
              <w:right w:w="90" w:type="dxa"/>
            </w:tcMar>
            <w:vAlign w:val="center"/>
          </w:tcPr>
          <w:p w14:paraId="0872A15A" w14:textId="77777777" w:rsidR="006A62CE" w:rsidRDefault="00000000">
            <w:pPr>
              <w:spacing w:after="0"/>
            </w:pPr>
            <w:r>
              <w:rPr>
                <w:sz w:val="16"/>
              </w:rPr>
              <w:t>Pointer-sector projector</w:t>
            </w:r>
          </w:p>
        </w:tc>
      </w:tr>
      <w:tr w:rsidR="006A62CE" w14:paraId="01D5C9A1" w14:textId="77777777">
        <w:trPr>
          <w:jc w:val="center"/>
        </w:trPr>
        <w:tc>
          <w:tcPr>
            <w:tcW w:w="4939" w:type="dxa"/>
            <w:tcMar>
              <w:top w:w="90" w:type="dxa"/>
              <w:left w:w="90" w:type="dxa"/>
              <w:bottom w:w="90" w:type="dxa"/>
              <w:right w:w="90" w:type="dxa"/>
            </w:tcMar>
            <w:vAlign w:val="center"/>
          </w:tcPr>
          <w:p w14:paraId="3940BAE6" w14:textId="77777777" w:rsidR="006A62CE" w:rsidRDefault="00000000">
            <w:pPr>
              <w:spacing w:after="0"/>
            </w:pPr>
            <w:r>
              <w:rPr>
                <w:sz w:val="16"/>
              </w:rPr>
              <w:t>D_T</w:t>
            </w:r>
          </w:p>
        </w:tc>
        <w:tc>
          <w:tcPr>
            <w:tcW w:w="4939" w:type="dxa"/>
            <w:tcMar>
              <w:top w:w="90" w:type="dxa"/>
              <w:left w:w="90" w:type="dxa"/>
              <w:bottom w:w="90" w:type="dxa"/>
              <w:right w:w="90" w:type="dxa"/>
            </w:tcMar>
            <w:vAlign w:val="center"/>
          </w:tcPr>
          <w:p w14:paraId="034ED1DD" w14:textId="77777777" w:rsidR="006A62CE" w:rsidRDefault="00000000">
            <w:pPr>
              <w:spacing w:after="0"/>
            </w:pPr>
            <w:r>
              <w:rPr>
                <w:sz w:val="16"/>
              </w:rPr>
              <w:t>Complete dephasing of T in the order-branch basis</w:t>
            </w:r>
          </w:p>
        </w:tc>
      </w:tr>
      <w:tr w:rsidR="006A62CE" w14:paraId="1CC7051E" w14:textId="77777777">
        <w:trPr>
          <w:jc w:val="center"/>
        </w:trPr>
        <w:tc>
          <w:tcPr>
            <w:tcW w:w="4939" w:type="dxa"/>
            <w:tcMar>
              <w:top w:w="90" w:type="dxa"/>
              <w:left w:w="90" w:type="dxa"/>
              <w:bottom w:w="90" w:type="dxa"/>
              <w:right w:w="90" w:type="dxa"/>
            </w:tcMar>
            <w:vAlign w:val="center"/>
          </w:tcPr>
          <w:p w14:paraId="01A4DDC4" w14:textId="77777777" w:rsidR="006A62CE" w:rsidRDefault="00000000">
            <w:pPr>
              <w:spacing w:after="0"/>
            </w:pPr>
            <w:r>
              <w:rPr>
                <w:sz w:val="16"/>
              </w:rPr>
              <w:t>Y</w:t>
            </w:r>
          </w:p>
        </w:tc>
        <w:tc>
          <w:tcPr>
            <w:tcW w:w="4939" w:type="dxa"/>
            <w:tcMar>
              <w:top w:w="90" w:type="dxa"/>
              <w:left w:w="90" w:type="dxa"/>
              <w:bottom w:w="90" w:type="dxa"/>
              <w:right w:w="90" w:type="dxa"/>
            </w:tcMar>
            <w:vAlign w:val="center"/>
          </w:tcPr>
          <w:p w14:paraId="2CDC5C20" w14:textId="77777777" w:rsidR="006A62CE" w:rsidRDefault="00000000">
            <w:pPr>
              <w:spacing w:after="0"/>
            </w:pPr>
            <w:r>
              <w:rPr>
                <w:sz w:val="16"/>
              </w:rPr>
              <w:t>Classical outcome register of an instrument on T</w:t>
            </w:r>
          </w:p>
        </w:tc>
      </w:tr>
      <w:tr w:rsidR="006A62CE" w14:paraId="23560D58" w14:textId="77777777">
        <w:trPr>
          <w:jc w:val="center"/>
        </w:trPr>
        <w:tc>
          <w:tcPr>
            <w:tcW w:w="4939" w:type="dxa"/>
            <w:tcMar>
              <w:top w:w="90" w:type="dxa"/>
              <w:left w:w="90" w:type="dxa"/>
              <w:bottom w:w="90" w:type="dxa"/>
              <w:right w:w="90" w:type="dxa"/>
            </w:tcMar>
            <w:vAlign w:val="center"/>
          </w:tcPr>
          <w:p w14:paraId="1A1C1EBA" w14:textId="77777777" w:rsidR="006A62CE" w:rsidRDefault="00000000">
            <w:pPr>
              <w:spacing w:after="0"/>
            </w:pPr>
            <w:r>
              <w:rPr>
                <w:sz w:val="16"/>
              </w:rPr>
              <w:t>W_sw,W_ext</w:t>
            </w:r>
          </w:p>
        </w:tc>
        <w:tc>
          <w:tcPr>
            <w:tcW w:w="4939" w:type="dxa"/>
            <w:tcMar>
              <w:top w:w="90" w:type="dxa"/>
              <w:left w:w="90" w:type="dxa"/>
              <w:bottom w:w="90" w:type="dxa"/>
              <w:right w:w="90" w:type="dxa"/>
            </w:tcMar>
            <w:vAlign w:val="center"/>
          </w:tcPr>
          <w:p w14:paraId="43D37C58" w14:textId="77777777" w:rsidR="006A62CE" w:rsidRDefault="00000000">
            <w:pPr>
              <w:spacing w:after="0"/>
            </w:pPr>
            <w:r>
              <w:rPr>
                <w:sz w:val="16"/>
              </w:rPr>
              <w:t>Base switch process and record-augmented process</w:t>
            </w:r>
          </w:p>
        </w:tc>
      </w:tr>
      <w:tr w:rsidR="006A62CE" w14:paraId="00D2F9BC" w14:textId="77777777">
        <w:trPr>
          <w:jc w:val="center"/>
        </w:trPr>
        <w:tc>
          <w:tcPr>
            <w:tcW w:w="4939" w:type="dxa"/>
            <w:tcMar>
              <w:top w:w="90" w:type="dxa"/>
              <w:left w:w="90" w:type="dxa"/>
              <w:bottom w:w="90" w:type="dxa"/>
              <w:right w:w="90" w:type="dxa"/>
            </w:tcMar>
            <w:vAlign w:val="center"/>
          </w:tcPr>
          <w:p w14:paraId="374AA67C" w14:textId="77777777" w:rsidR="006A62CE" w:rsidRDefault="00000000">
            <w:pPr>
              <w:spacing w:after="0"/>
            </w:pPr>
            <w:r>
              <w:rPr>
                <w:sz w:val="16"/>
              </w:rPr>
              <w:t>R,R*</w:t>
            </w:r>
          </w:p>
        </w:tc>
        <w:tc>
          <w:tcPr>
            <w:tcW w:w="4939" w:type="dxa"/>
            <w:tcMar>
              <w:top w:w="90" w:type="dxa"/>
              <w:left w:w="90" w:type="dxa"/>
              <w:bottom w:w="90" w:type="dxa"/>
              <w:right w:w="90" w:type="dxa"/>
            </w:tcMar>
            <w:vAlign w:val="center"/>
          </w:tcPr>
          <w:p w14:paraId="45E1C1C2" w14:textId="77777777" w:rsidR="006A62CE" w:rsidRDefault="00000000">
            <w:pPr>
              <w:spacing w:after="0"/>
            </w:pPr>
            <w:r>
              <w:rPr>
                <w:sz w:val="16"/>
              </w:rPr>
              <w:t>Deterministic local recovery/discard map and its Hilbert-Schmidt adjoint</w:t>
            </w:r>
          </w:p>
        </w:tc>
      </w:tr>
      <w:tr w:rsidR="006A62CE" w14:paraId="0555937A" w14:textId="77777777">
        <w:trPr>
          <w:jc w:val="center"/>
        </w:trPr>
        <w:tc>
          <w:tcPr>
            <w:tcW w:w="4939" w:type="dxa"/>
            <w:tcMar>
              <w:top w:w="90" w:type="dxa"/>
              <w:left w:w="90" w:type="dxa"/>
              <w:bottom w:w="90" w:type="dxa"/>
              <w:right w:w="90" w:type="dxa"/>
            </w:tcMar>
            <w:vAlign w:val="center"/>
          </w:tcPr>
          <w:p w14:paraId="38C35500" w14:textId="77777777" w:rsidR="006A62CE" w:rsidRDefault="00000000">
            <w:pPr>
              <w:spacing w:after="0"/>
            </w:pPr>
            <w:r>
              <w:rPr>
                <w:sz w:val="16"/>
              </w:rPr>
              <w:t>S_sw,S_ext</w:t>
            </w:r>
          </w:p>
        </w:tc>
        <w:tc>
          <w:tcPr>
            <w:tcW w:w="4939" w:type="dxa"/>
            <w:tcMar>
              <w:top w:w="90" w:type="dxa"/>
              <w:left w:w="90" w:type="dxa"/>
              <w:bottom w:w="90" w:type="dxa"/>
              <w:right w:w="90" w:type="dxa"/>
            </w:tcMar>
            <w:vAlign w:val="center"/>
          </w:tcPr>
          <w:p w14:paraId="38A0A137" w14:textId="77777777" w:rsidR="006A62CE" w:rsidRDefault="00000000">
            <w:pPr>
              <w:spacing w:after="0"/>
            </w:pPr>
            <w:r>
              <w:rPr>
                <w:sz w:val="16"/>
              </w:rPr>
              <w:t>Base causal witness and its pulled-back extension</w:t>
            </w:r>
          </w:p>
        </w:tc>
      </w:tr>
    </w:tbl>
    <w:p w14:paraId="3F07504A" w14:textId="77777777" w:rsidR="006A62CE" w:rsidRDefault="006A62CE">
      <w:pPr>
        <w:spacing w:after="20"/>
      </w:pPr>
    </w:p>
    <w:p w14:paraId="169FFDBA" w14:textId="77777777" w:rsidR="006A62CE" w:rsidRDefault="00000000">
      <w:pPr>
        <w:pStyle w:val="Heading2"/>
      </w:pPr>
      <w:r>
        <w:t>B. Pointer labels, fragments, and objectivity</w:t>
      </w:r>
    </w:p>
    <w:p w14:paraId="12D5900E" w14:textId="77777777" w:rsidR="006A62CE" w:rsidRDefault="00000000">
      <w:r>
        <w:t>Let Λ be a classical pointer label with prior qλ and conditional states ρ_{TF|λ}. The associated classical-quantum state is</w:t>
      </w:r>
    </w:p>
    <w:p w14:paraId="26042781" w14:textId="77777777" w:rsidR="006A62CE" w:rsidRDefault="00000000">
      <w:pPr>
        <w:pStyle w:val="Equation"/>
      </w:pPr>
      <w:r>
        <w:t>ρ_{ΛTF} = Σλ qλ |λ&gt;&lt;λ| ⊗ ρ_{TF|λ}.                                                (1)</w:t>
      </w:r>
    </w:p>
    <w:p w14:paraId="086C3F1B" w14:textId="77777777" w:rsidR="006A62CE" w:rsidRDefault="00000000">
      <w:r>
        <w:t>For a fragment F, I(Λ:F) equals the Holevo information of the conditional ensemble. Operational redundancy at deficit δ requires many disjoint fragments to carry at least (1-δ)H(Λ). Ordinary redundancy is not identified with strong Quantum Darwinism or spectrum-broadcast structure without their additional conditions; in particular, strong Quantum Darwinism and strong independence provide conditions connected to spectrum-broadcast structure [20].</w:t>
      </w:r>
    </w:p>
    <w:p w14:paraId="3BBDADF9" w14:textId="77777777" w:rsidR="006A62CE" w:rsidRDefault="00000000">
      <w:pPr>
        <w:pStyle w:val="Heading2"/>
      </w:pPr>
      <w:r>
        <w:t>C. Causal separability and composite process class</w:t>
      </w:r>
    </w:p>
    <w:p w14:paraId="76C80803" w14:textId="77777777" w:rsidR="006A62CE" w:rsidRDefault="00000000">
      <w:r>
        <w:t>For the tripartite switch setting with a final party and no final output, a causally separable process admits a convex decomposition</w:t>
      </w:r>
    </w:p>
    <w:p w14:paraId="72E86422" w14:textId="77777777" w:rsidR="006A62CE" w:rsidRDefault="00000000">
      <w:pPr>
        <w:pStyle w:val="Equation"/>
      </w:pPr>
      <w:r>
        <w:t>W_sep = q W^(A≺B≺C) + (1-q) W^(B≺A≺C).                                  (2)</w:t>
      </w:r>
    </w:p>
    <w:p w14:paraId="58564EBB" w14:textId="77777777" w:rsidR="006A62CE" w:rsidRDefault="00000000">
      <w:r>
        <w:t>A causal witness is nonnegative on every causally separable process and negative on at least one causally nonseparable process [10-12]. Record quality and causal certification are evaluated separately.</w:t>
      </w:r>
    </w:p>
    <w:tbl>
      <w:tblPr>
        <w:tblStyle w:val="TableGrid"/>
        <w:tblW w:w="0" w:type="auto"/>
        <w:jc w:val="center"/>
        <w:tblLook w:val="04A0" w:firstRow="1" w:lastRow="0" w:firstColumn="1" w:lastColumn="0" w:noHBand="0" w:noVBand="1"/>
      </w:tblPr>
      <w:tblGrid>
        <w:gridCol w:w="9878"/>
      </w:tblGrid>
      <w:tr w:rsidR="006A62CE" w14:paraId="5250DDC1" w14:textId="77777777">
        <w:trPr>
          <w:jc w:val="center"/>
        </w:trPr>
        <w:tc>
          <w:tcPr>
            <w:tcW w:w="9878" w:type="dxa"/>
            <w:shd w:val="clear" w:color="auto" w:fill="D9EAF7"/>
            <w:tcMar>
              <w:top w:w="90" w:type="dxa"/>
              <w:left w:w="90" w:type="dxa"/>
              <w:bottom w:w="90" w:type="dxa"/>
              <w:right w:w="90" w:type="dxa"/>
            </w:tcMar>
          </w:tcPr>
          <w:p w14:paraId="021748CF" w14:textId="77777777" w:rsidR="006A62CE" w:rsidRDefault="00000000">
            <w:r>
              <w:rPr>
                <w:b/>
                <w:color w:val="1F4E79"/>
              </w:rPr>
              <w:t>Definition 1. Composite record-process class.</w:t>
            </w:r>
            <w:r>
              <w:rPr>
                <w:b/>
                <w:color w:val="1F4E79"/>
              </w:rPr>
              <w:br/>
            </w:r>
            <w:r>
              <w:rPr>
                <w:b/>
              </w:rPr>
              <w:t>Let C_rec contain (a) fixed-order processes with deterministic local record channels, (b) the unaltered quantum switch without appended records, and (c) record-augmented switch processes. The class is closed under adjoining deterministic local record channels and under deterministic local discard of those records. The operations preserve the validity constraints of the underlying process space.</w:t>
            </w:r>
          </w:p>
        </w:tc>
      </w:tr>
    </w:tbl>
    <w:p w14:paraId="03580392" w14:textId="77777777" w:rsidR="006A62CE" w:rsidRDefault="006A62CE">
      <w:pPr>
        <w:spacing w:after="20"/>
      </w:pPr>
    </w:p>
    <w:p w14:paraId="628DA2F9" w14:textId="77777777" w:rsidR="006A62CE" w:rsidRDefault="00000000">
      <w:pPr>
        <w:pStyle w:val="Heading1"/>
      </w:pPr>
      <w:r>
        <w:lastRenderedPageBreak/>
        <w:t>III. Independence and control-access decomposition</w:t>
      </w:r>
    </w:p>
    <w:p w14:paraId="6EB2075E" w14:textId="77777777" w:rsidR="006A62CE" w:rsidRDefault="00000000">
      <w:pPr>
        <w:pStyle w:val="Heading2"/>
      </w:pPr>
      <w:r>
        <w:t>Theorem 1. Logical independence</w:t>
      </w:r>
    </w:p>
    <w:p w14:paraId="3ED183FB" w14:textId="77777777" w:rsidR="006A62CE" w:rsidRDefault="00000000">
      <w:r>
        <w:t>Within C_rec, environmental objectivity is neither necessary nor sufficient for causal nonseparability.</w:t>
      </w:r>
    </w:p>
    <w:p w14:paraId="06C0FE24" w14:textId="77777777" w:rsidR="006A62CE" w:rsidRDefault="00000000">
      <w:r>
        <w:t>Proof. A fixed-order process with compatible repeated records is objective but causally separable. The unaltered causally nonseparable quantum switch, or a switch with blank or incompatible record channels, is nonobjective but causally nonseparable. A switch with common-pointer-preserving record channels can satisfy both properties. A fixed-order nonrecording process satisfies neither. The quantum switch is treated as a higher-order controlled-order process as introduced in Ref. [19], and causal nonseparability is certified independently through the process framework [10-12,15]. These constructions populate all four sectors. □</w:t>
      </w:r>
    </w:p>
    <w:p w14:paraId="34E26945" w14:textId="77777777" w:rsidR="006A62CE" w:rsidRDefault="00000000">
      <w:pPr>
        <w:jc w:val="center"/>
      </w:pPr>
      <w:r>
        <w:rPr>
          <w:b/>
          <w:sz w:val="18"/>
        </w:rPr>
        <w:t>Table III. Constructive population of the four logical sectors.</w:t>
      </w:r>
    </w:p>
    <w:tbl>
      <w:tblPr>
        <w:tblStyle w:val="TableGrid"/>
        <w:tblW w:w="0" w:type="auto"/>
        <w:jc w:val="center"/>
        <w:tblLook w:val="04A0" w:firstRow="1" w:lastRow="0" w:firstColumn="1" w:lastColumn="0" w:noHBand="0" w:noVBand="1"/>
      </w:tblPr>
      <w:tblGrid>
        <w:gridCol w:w="3293"/>
        <w:gridCol w:w="3293"/>
        <w:gridCol w:w="3293"/>
      </w:tblGrid>
      <w:tr w:rsidR="006A62CE" w14:paraId="7DC6F064" w14:textId="77777777">
        <w:trPr>
          <w:jc w:val="center"/>
        </w:trPr>
        <w:tc>
          <w:tcPr>
            <w:tcW w:w="3293" w:type="dxa"/>
            <w:shd w:val="clear" w:color="auto" w:fill="D9EAF7"/>
            <w:tcMar>
              <w:top w:w="90" w:type="dxa"/>
              <w:left w:w="90" w:type="dxa"/>
              <w:bottom w:w="90" w:type="dxa"/>
              <w:right w:w="90" w:type="dxa"/>
            </w:tcMar>
            <w:vAlign w:val="center"/>
          </w:tcPr>
          <w:p w14:paraId="6CED4CC3" w14:textId="77777777" w:rsidR="006A62CE" w:rsidRDefault="00000000">
            <w:r>
              <w:rPr>
                <w:rFonts w:ascii="Arial" w:hAnsi="Arial"/>
                <w:b/>
                <w:sz w:val="17"/>
              </w:rPr>
              <w:t>Environmental objectivity</w:t>
            </w:r>
          </w:p>
        </w:tc>
        <w:tc>
          <w:tcPr>
            <w:tcW w:w="3293" w:type="dxa"/>
            <w:shd w:val="clear" w:color="auto" w:fill="D9EAF7"/>
            <w:tcMar>
              <w:top w:w="90" w:type="dxa"/>
              <w:left w:w="90" w:type="dxa"/>
              <w:bottom w:w="90" w:type="dxa"/>
              <w:right w:w="90" w:type="dxa"/>
            </w:tcMar>
            <w:vAlign w:val="center"/>
          </w:tcPr>
          <w:p w14:paraId="66A6C6BB" w14:textId="77777777" w:rsidR="006A62CE" w:rsidRDefault="00000000">
            <w:r>
              <w:rPr>
                <w:rFonts w:ascii="Arial" w:hAnsi="Arial"/>
                <w:b/>
                <w:sz w:val="17"/>
              </w:rPr>
              <w:t>Causal nonseparability</w:t>
            </w:r>
          </w:p>
        </w:tc>
        <w:tc>
          <w:tcPr>
            <w:tcW w:w="3293" w:type="dxa"/>
            <w:shd w:val="clear" w:color="auto" w:fill="D9EAF7"/>
            <w:tcMar>
              <w:top w:w="90" w:type="dxa"/>
              <w:left w:w="90" w:type="dxa"/>
              <w:bottom w:w="90" w:type="dxa"/>
              <w:right w:w="90" w:type="dxa"/>
            </w:tcMar>
            <w:vAlign w:val="center"/>
          </w:tcPr>
          <w:p w14:paraId="2722D15F" w14:textId="77777777" w:rsidR="006A62CE" w:rsidRDefault="00000000">
            <w:r>
              <w:rPr>
                <w:rFonts w:ascii="Arial" w:hAnsi="Arial"/>
                <w:b/>
                <w:sz w:val="17"/>
              </w:rPr>
              <w:t>Construction</w:t>
            </w:r>
          </w:p>
        </w:tc>
      </w:tr>
      <w:tr w:rsidR="006A62CE" w14:paraId="4BB8D2B5" w14:textId="77777777">
        <w:trPr>
          <w:jc w:val="center"/>
        </w:trPr>
        <w:tc>
          <w:tcPr>
            <w:tcW w:w="3293" w:type="dxa"/>
            <w:tcMar>
              <w:top w:w="90" w:type="dxa"/>
              <w:left w:w="90" w:type="dxa"/>
              <w:bottom w:w="90" w:type="dxa"/>
              <w:right w:w="90" w:type="dxa"/>
            </w:tcMar>
            <w:vAlign w:val="center"/>
          </w:tcPr>
          <w:p w14:paraId="54012616" w14:textId="77777777" w:rsidR="006A62CE" w:rsidRDefault="00000000">
            <w:pPr>
              <w:spacing w:after="0"/>
            </w:pPr>
            <w:r>
              <w:rPr>
                <w:sz w:val="16"/>
              </w:rPr>
              <w:t>Yes</w:t>
            </w:r>
          </w:p>
        </w:tc>
        <w:tc>
          <w:tcPr>
            <w:tcW w:w="3293" w:type="dxa"/>
            <w:tcMar>
              <w:top w:w="90" w:type="dxa"/>
              <w:left w:w="90" w:type="dxa"/>
              <w:bottom w:w="90" w:type="dxa"/>
              <w:right w:w="90" w:type="dxa"/>
            </w:tcMar>
            <w:vAlign w:val="center"/>
          </w:tcPr>
          <w:p w14:paraId="4B1EFA46" w14:textId="77777777" w:rsidR="006A62CE" w:rsidRDefault="00000000">
            <w:pPr>
              <w:spacing w:after="0"/>
            </w:pPr>
            <w:r>
              <w:rPr>
                <w:sz w:val="16"/>
              </w:rPr>
              <w:t>No</w:t>
            </w:r>
          </w:p>
        </w:tc>
        <w:tc>
          <w:tcPr>
            <w:tcW w:w="3293" w:type="dxa"/>
            <w:tcMar>
              <w:top w:w="90" w:type="dxa"/>
              <w:left w:w="90" w:type="dxa"/>
              <w:bottom w:w="90" w:type="dxa"/>
              <w:right w:w="90" w:type="dxa"/>
            </w:tcMar>
            <w:vAlign w:val="center"/>
          </w:tcPr>
          <w:p w14:paraId="7E7438ED" w14:textId="77777777" w:rsidR="006A62CE" w:rsidRDefault="00000000">
            <w:pPr>
              <w:spacing w:after="0"/>
            </w:pPr>
            <w:r>
              <w:rPr>
                <w:sz w:val="16"/>
              </w:rPr>
              <w:t>Fixed order with compatible repeated records</w:t>
            </w:r>
          </w:p>
        </w:tc>
      </w:tr>
      <w:tr w:rsidR="006A62CE" w14:paraId="6DE3C59B" w14:textId="77777777">
        <w:trPr>
          <w:jc w:val="center"/>
        </w:trPr>
        <w:tc>
          <w:tcPr>
            <w:tcW w:w="3293" w:type="dxa"/>
            <w:tcMar>
              <w:top w:w="90" w:type="dxa"/>
              <w:left w:w="90" w:type="dxa"/>
              <w:bottom w:w="90" w:type="dxa"/>
              <w:right w:w="90" w:type="dxa"/>
            </w:tcMar>
            <w:vAlign w:val="center"/>
          </w:tcPr>
          <w:p w14:paraId="0C785847" w14:textId="77777777" w:rsidR="006A62CE" w:rsidRDefault="00000000">
            <w:pPr>
              <w:spacing w:after="0"/>
            </w:pPr>
            <w:r>
              <w:rPr>
                <w:sz w:val="16"/>
              </w:rPr>
              <w:t>No</w:t>
            </w:r>
          </w:p>
        </w:tc>
        <w:tc>
          <w:tcPr>
            <w:tcW w:w="3293" w:type="dxa"/>
            <w:tcMar>
              <w:top w:w="90" w:type="dxa"/>
              <w:left w:w="90" w:type="dxa"/>
              <w:bottom w:w="90" w:type="dxa"/>
              <w:right w:w="90" w:type="dxa"/>
            </w:tcMar>
            <w:vAlign w:val="center"/>
          </w:tcPr>
          <w:p w14:paraId="7FDF4C31" w14:textId="77777777" w:rsidR="006A62CE" w:rsidRDefault="00000000">
            <w:pPr>
              <w:spacing w:after="0"/>
            </w:pPr>
            <w:r>
              <w:rPr>
                <w:sz w:val="16"/>
              </w:rPr>
              <w:t>Yes</w:t>
            </w:r>
          </w:p>
        </w:tc>
        <w:tc>
          <w:tcPr>
            <w:tcW w:w="3293" w:type="dxa"/>
            <w:tcMar>
              <w:top w:w="90" w:type="dxa"/>
              <w:left w:w="90" w:type="dxa"/>
              <w:bottom w:w="90" w:type="dxa"/>
              <w:right w:w="90" w:type="dxa"/>
            </w:tcMar>
            <w:vAlign w:val="center"/>
          </w:tcPr>
          <w:p w14:paraId="347B010B" w14:textId="77777777" w:rsidR="006A62CE" w:rsidRDefault="00000000">
            <w:pPr>
              <w:spacing w:after="0"/>
            </w:pPr>
            <w:r>
              <w:rPr>
                <w:sz w:val="16"/>
              </w:rPr>
              <w:t>Unaltered switch or switch with blank/incompatible records</w:t>
            </w:r>
          </w:p>
        </w:tc>
      </w:tr>
      <w:tr w:rsidR="006A62CE" w14:paraId="1430E706" w14:textId="77777777">
        <w:trPr>
          <w:jc w:val="center"/>
        </w:trPr>
        <w:tc>
          <w:tcPr>
            <w:tcW w:w="3293" w:type="dxa"/>
            <w:tcMar>
              <w:top w:w="90" w:type="dxa"/>
              <w:left w:w="90" w:type="dxa"/>
              <w:bottom w:w="90" w:type="dxa"/>
              <w:right w:w="90" w:type="dxa"/>
            </w:tcMar>
            <w:vAlign w:val="center"/>
          </w:tcPr>
          <w:p w14:paraId="5620B781" w14:textId="77777777" w:rsidR="006A62CE" w:rsidRDefault="00000000">
            <w:pPr>
              <w:spacing w:after="0"/>
            </w:pPr>
            <w:r>
              <w:rPr>
                <w:sz w:val="16"/>
              </w:rPr>
              <w:t>Yes</w:t>
            </w:r>
          </w:p>
        </w:tc>
        <w:tc>
          <w:tcPr>
            <w:tcW w:w="3293" w:type="dxa"/>
            <w:tcMar>
              <w:top w:w="90" w:type="dxa"/>
              <w:left w:w="90" w:type="dxa"/>
              <w:bottom w:w="90" w:type="dxa"/>
              <w:right w:w="90" w:type="dxa"/>
            </w:tcMar>
            <w:vAlign w:val="center"/>
          </w:tcPr>
          <w:p w14:paraId="402CB4CB" w14:textId="77777777" w:rsidR="006A62CE" w:rsidRDefault="00000000">
            <w:pPr>
              <w:spacing w:after="0"/>
            </w:pPr>
            <w:r>
              <w:rPr>
                <w:sz w:val="16"/>
              </w:rPr>
              <w:t>Yes</w:t>
            </w:r>
          </w:p>
        </w:tc>
        <w:tc>
          <w:tcPr>
            <w:tcW w:w="3293" w:type="dxa"/>
            <w:tcMar>
              <w:top w:w="90" w:type="dxa"/>
              <w:left w:w="90" w:type="dxa"/>
              <w:bottom w:w="90" w:type="dxa"/>
              <w:right w:w="90" w:type="dxa"/>
            </w:tcMar>
            <w:vAlign w:val="center"/>
          </w:tcPr>
          <w:p w14:paraId="0E209CED" w14:textId="77777777" w:rsidR="006A62CE" w:rsidRDefault="00000000">
            <w:pPr>
              <w:spacing w:after="0"/>
            </w:pPr>
            <w:r>
              <w:rPr>
                <w:sz w:val="16"/>
              </w:rPr>
              <w:t>Switch with common-pointer-preserving record channels</w:t>
            </w:r>
          </w:p>
        </w:tc>
      </w:tr>
      <w:tr w:rsidR="006A62CE" w14:paraId="7C94F1AE" w14:textId="77777777">
        <w:trPr>
          <w:jc w:val="center"/>
        </w:trPr>
        <w:tc>
          <w:tcPr>
            <w:tcW w:w="3293" w:type="dxa"/>
            <w:tcMar>
              <w:top w:w="90" w:type="dxa"/>
              <w:left w:w="90" w:type="dxa"/>
              <w:bottom w:w="90" w:type="dxa"/>
              <w:right w:w="90" w:type="dxa"/>
            </w:tcMar>
            <w:vAlign w:val="center"/>
          </w:tcPr>
          <w:p w14:paraId="331B8A20" w14:textId="77777777" w:rsidR="006A62CE" w:rsidRDefault="00000000">
            <w:pPr>
              <w:spacing w:after="0"/>
            </w:pPr>
            <w:r>
              <w:rPr>
                <w:sz w:val="16"/>
              </w:rPr>
              <w:t>No</w:t>
            </w:r>
          </w:p>
        </w:tc>
        <w:tc>
          <w:tcPr>
            <w:tcW w:w="3293" w:type="dxa"/>
            <w:tcMar>
              <w:top w:w="90" w:type="dxa"/>
              <w:left w:w="90" w:type="dxa"/>
              <w:bottom w:w="90" w:type="dxa"/>
              <w:right w:w="90" w:type="dxa"/>
            </w:tcMar>
            <w:vAlign w:val="center"/>
          </w:tcPr>
          <w:p w14:paraId="428EC943" w14:textId="77777777" w:rsidR="006A62CE" w:rsidRDefault="00000000">
            <w:pPr>
              <w:spacing w:after="0"/>
            </w:pPr>
            <w:r>
              <w:rPr>
                <w:sz w:val="16"/>
              </w:rPr>
              <w:t>No</w:t>
            </w:r>
          </w:p>
        </w:tc>
        <w:tc>
          <w:tcPr>
            <w:tcW w:w="3293" w:type="dxa"/>
            <w:tcMar>
              <w:top w:w="90" w:type="dxa"/>
              <w:left w:w="90" w:type="dxa"/>
              <w:bottom w:w="90" w:type="dxa"/>
              <w:right w:w="90" w:type="dxa"/>
            </w:tcMar>
            <w:vAlign w:val="center"/>
          </w:tcPr>
          <w:p w14:paraId="7ACBEECC" w14:textId="77777777" w:rsidR="006A62CE" w:rsidRDefault="00000000">
            <w:pPr>
              <w:spacing w:after="0"/>
            </w:pPr>
            <w:r>
              <w:rPr>
                <w:sz w:val="16"/>
              </w:rPr>
              <w:t>Fixed-order nonrecording process</w:t>
            </w:r>
          </w:p>
        </w:tc>
      </w:tr>
    </w:tbl>
    <w:p w14:paraId="79089DDD" w14:textId="77777777" w:rsidR="006A62CE" w:rsidRDefault="006A62CE">
      <w:pPr>
        <w:spacing w:after="20"/>
      </w:pPr>
    </w:p>
    <w:p w14:paraId="5A9D18A6" w14:textId="77777777" w:rsidR="006A62CE" w:rsidRDefault="00000000">
      <w:pPr>
        <w:pStyle w:val="Heading2"/>
      </w:pPr>
      <w:r>
        <w:t>Theorem 2. Nonnegative access decomposition</w:t>
      </w:r>
    </w:p>
    <w:p w14:paraId="57C791C3" w14:textId="77777777" w:rsidR="006A62CE" w:rsidRDefault="00000000">
      <w:r>
        <w:t>Let D_T completely dephase T in the order-branch basis. Define I_F=I(Λ:F)_ρ, I_class=I(Λ:TF)_{D_T(ρ)}, and I_coh=I(Λ:TF)_ρ. Then</w:t>
      </w:r>
    </w:p>
    <w:p w14:paraId="1E2FD08A" w14:textId="77777777" w:rsidR="006A62CE" w:rsidRDefault="00000000">
      <w:pPr>
        <w:pStyle w:val="Equation"/>
      </w:pPr>
      <w:r>
        <w:t>I_coh - I_F = Δ_coh + Δ_label,    Δ_coh ≥ 0,    Δ_label ≥ 0,                 (3)</w:t>
      </w:r>
    </w:p>
    <w:p w14:paraId="2B600AC9" w14:textId="77777777" w:rsidR="006A62CE" w:rsidRDefault="00000000">
      <w:r>
        <w:t>where Δ_coh=I_coh-I_class and Δ_label=I_class-I_F.</w:t>
      </w:r>
    </w:p>
    <w:p w14:paraId="1E8A93E5" w14:textId="77777777" w:rsidR="006A62CE" w:rsidRDefault="00000000">
      <w:r>
        <w:t>Proof. D_T is a channel local to T. Data processing therefore gives I(Λ:TF)_ρ ≥ I(Λ:TF)_{D_T(ρ)}, proving Δ_coh≥0. Because D_T acts only on T and F is disjoint, dephasing commutes with tracing out T; hence the ΛF marginal is unchanged. The chain rule applied to the dephased state gives</w:t>
      </w:r>
    </w:p>
    <w:p w14:paraId="4558679F" w14:textId="77777777" w:rsidR="006A62CE" w:rsidRDefault="00000000">
      <w:pPr>
        <w:pStyle w:val="Equation"/>
      </w:pPr>
      <w:r>
        <w:t>I(Λ:TF)_{D_T(ρ)} = I(Λ:F)_{D_T(ρ)} + I(Λ:T|F)_{D_T(ρ)}.</w:t>
      </w:r>
    </w:p>
    <w:p w14:paraId="6B8C17C6" w14:textId="77777777" w:rsidR="006A62CE" w:rsidRDefault="00000000">
      <w:r>
        <w:t>The unchanged ΛF marginal implies I(Λ:F)_{D_T(ρ)}=I(Λ:F)_ρ. Therefore</w:t>
      </w:r>
    </w:p>
    <w:p w14:paraId="7878FF09" w14:textId="77777777" w:rsidR="006A62CE" w:rsidRDefault="00000000">
      <w:pPr>
        <w:pStyle w:val="Equation"/>
      </w:pPr>
      <w:r>
        <w:t>Δ_label = I(Λ:T|F)_{D_T(ρ)} ≥ 0.                                        (4)</w:t>
      </w:r>
    </w:p>
    <w:p w14:paraId="54DD0311" w14:textId="77777777" w:rsidR="006A62CE" w:rsidRDefault="00000000">
      <w:r>
        <w:t>The split is defined relative to the declared branch-basis dephasing and access structure; it is not asserted to be a unique partial-information decomposition. □</w:t>
      </w:r>
    </w:p>
    <w:p w14:paraId="3DCB7453" w14:textId="77777777" w:rsidR="006A62CE" w:rsidRDefault="00000000">
      <w:pPr>
        <w:pStyle w:val="Heading1"/>
      </w:pPr>
      <w:r>
        <w:t>IV. Controlled-order record dynamics</w:t>
      </w:r>
    </w:p>
    <w:p w14:paraId="413A6321" w14:textId="77777777" w:rsidR="006A62CE" w:rsidRDefault="00000000">
      <w:r>
        <w:t>Let Qλ^S denote pointer-sector projectors on the system S. U_A records the Z pointer into E₁, while U_B records a θ-rotated pointer into E₂. Unless θ is in a compatible limit, U_B writes a different pointer observable and need not commute with the same Qλ^S. The controlled-order unitary is</w:t>
      </w:r>
    </w:p>
    <w:p w14:paraId="77F9ADB2" w14:textId="77777777" w:rsidR="006A62CE" w:rsidRDefault="00000000">
      <w:pPr>
        <w:pStyle w:val="Equation"/>
      </w:pPr>
      <w:r>
        <w:t>U_ord = |0&gt;&lt;0|_T ⊗ U_B U_A + |1&gt;&lt;1|_T ⊗ U_A U_B.                         (5)</w:t>
      </w:r>
    </w:p>
    <w:tbl>
      <w:tblPr>
        <w:tblStyle w:val="TableGrid"/>
        <w:tblW w:w="0" w:type="auto"/>
        <w:jc w:val="center"/>
        <w:tblLook w:val="04A0" w:firstRow="1" w:lastRow="0" w:firstColumn="1" w:lastColumn="0" w:noHBand="0" w:noVBand="1"/>
      </w:tblPr>
      <w:tblGrid>
        <w:gridCol w:w="9878"/>
      </w:tblGrid>
      <w:tr w:rsidR="006A62CE" w14:paraId="74606428" w14:textId="77777777">
        <w:trPr>
          <w:jc w:val="center"/>
        </w:trPr>
        <w:tc>
          <w:tcPr>
            <w:tcW w:w="9878" w:type="dxa"/>
            <w:shd w:val="clear" w:color="auto" w:fill="D9EAF7"/>
            <w:tcMar>
              <w:top w:w="90" w:type="dxa"/>
              <w:left w:w="90" w:type="dxa"/>
              <w:bottom w:w="90" w:type="dxa"/>
              <w:right w:w="90" w:type="dxa"/>
            </w:tcMar>
            <w:vAlign w:val="center"/>
          </w:tcPr>
          <w:p w14:paraId="025BC698" w14:textId="77777777" w:rsidR="00B014A9" w:rsidRDefault="00000000">
            <w:pPr>
              <w:spacing w:after="40" w:line="240" w:lineRule="auto"/>
            </w:pPr>
            <w:r>
              <w:rPr>
                <w:b/>
              </w:rPr>
              <w:t xml:space="preserve">Definition 2. Exact pointer preservation. The pointer projectors {Qλ} act on the pointer-system Hilbert space H_S and are lifted to larger spaces by tensoring with identity operators on every nonpointer subsystem present in the expression. Thus Qλ means Qλ^S on S, I_T⊗Qλ^S in the controlled-order operator, and I_T⊗Qλ^S⊗I_E on explicit record spaces. An operator V preserves the pointer projectors exactly when [V,Qλ]=0 for every λ after this identity extension. This operator-level condition is equivalent to </w:t>
            </w:r>
            <w:r>
              <w:rPr>
                <w:b/>
              </w:rPr>
              <w:lastRenderedPageBreak/>
              <w:t>block-diagonality in the pointer-sector decomposition and prevents transitions between pointer sectors. The controlled-rotation gates in Eqs. (18)-(19) are record-writing interactions conditioned on the pointer basis; they preserve the Z pointer exactly when their system-side action is block diagonal in {Qλ}. The θ-rotated record interaction is therefore not a common-pointer-preserving interaction except in the compatible limits identified by the branchwise criteria.</w:t>
            </w:r>
          </w:p>
        </w:tc>
      </w:tr>
    </w:tbl>
    <w:p w14:paraId="30EF5090" w14:textId="77777777" w:rsidR="006A62CE" w:rsidRDefault="006A62CE">
      <w:pPr>
        <w:spacing w:after="20"/>
      </w:pPr>
    </w:p>
    <w:p w14:paraId="67F26BDE" w14:textId="77777777" w:rsidR="006A62CE" w:rsidRDefault="00000000">
      <w:pPr>
        <w:pStyle w:val="Heading2"/>
      </w:pPr>
      <w:r>
        <w:t>Theorem 3. Common-pointer sufficiency</w:t>
      </w:r>
    </w:p>
    <w:p w14:paraId="5A210F65" w14:textId="77777777" w:rsidR="006A62CE" w:rsidRDefault="00000000">
      <w:r>
        <w:t>If [U_A,Qλ]=[U_B,Qλ]=0 for every pointer projector Qλ, then both definite orders, U_ord, and every nonzero postselected operator Kφ=&lt;φ|U_ord|τ&gt; preserve Qλ. Products and linear combinations of operators in the commutant remain in the commutant.</w:t>
      </w:r>
    </w:p>
    <w:p w14:paraId="4158772C" w14:textId="77777777" w:rsidR="006A62CE" w:rsidRDefault="00000000">
      <w:pPr>
        <w:pStyle w:val="Heading2"/>
      </w:pPr>
      <w:r>
        <w:t>Theorem 4. Orthogonal-branch necessity</w:t>
      </w:r>
    </w:p>
    <w:p w14:paraId="79E0B8E2" w14:textId="77777777" w:rsidR="006A62CE" w:rsidRDefault="00000000">
      <w:r>
        <w:t>For an initial control state τ_T with branch weights p₀=&lt;0|τ_T|0&gt; and p₁=&lt;1|τ_T|1&gt;, exact unconditional operator-level preservation by U_ord holds if and only if both order products preserve the pointer projector, because</w:t>
      </w:r>
    </w:p>
    <w:p w14:paraId="3D21B781" w14:textId="77777777" w:rsidR="006A62CE" w:rsidRDefault="00000000">
      <w:pPr>
        <w:pStyle w:val="Equation"/>
      </w:pPr>
      <w:r>
        <w:t>[U_ord,I_T⊗Qλ] = |0&gt;&lt;0|⊗[U_B U_A,Qλ] + |1&gt;&lt;1|⊗[U_A U_B,Qλ].             (6)</w:t>
      </w:r>
    </w:p>
    <w:p w14:paraId="51899E03" w14:textId="77777777" w:rsidR="006A62CE" w:rsidRDefault="00000000">
      <w:r>
        <w:t>The terms occupy orthogonal control blocks, so cross-order coherence cannot cancel operator-level leakage. For a projector Qλ, define the nonnegative Hilbert-Schmidt leakage Lλ(V)=||(I-Qλ)VQλ||₂². With initial control branch weights p₀ and p₁, tracing out T gives Lλ(U_ord)=p₀Lλ(U_B U_A)+p₁Lλ(U_A U_B). Thus zero unconditional leakage with both weights nonzero is equivalent to zero leakage in each occupied branch. If one branch has zero weight, necessity applies only to the occupied branch. The same conclusion holds for any nonnegative leakage functional additive on orthogonal control blocks.</w:t>
      </w:r>
    </w:p>
    <w:p w14:paraId="277FC43D" w14:textId="77777777" w:rsidR="006A62CE" w:rsidRDefault="00000000">
      <w:pPr>
        <w:pStyle w:val="Heading1"/>
      </w:pPr>
      <w:r>
        <w:t>V. Postselection information budget</w:t>
      </w:r>
    </w:p>
    <w:p w14:paraId="6B982842" w14:textId="77777777" w:rsidR="006A62CE" w:rsidRDefault="00000000">
      <w:r>
        <w:t>Let an instrument {M_y} on T store its accessible outcome in a classical register Y. The post-instrument state is ρ_{ΛFY}=Σ_y p_y ρ_{ΛF|y}⊗|y&gt;&lt;y|, where p_y&gt;0 for every selected outcome retained in the formulas. Define χ_y=I(Λ:F)_{ρ|y} and χ=I(Λ:F)_ρ.</w:t>
      </w:r>
    </w:p>
    <w:p w14:paraId="474D4C7C" w14:textId="77777777" w:rsidR="006A62CE" w:rsidRDefault="00000000">
      <w:pPr>
        <w:pStyle w:val="Heading2"/>
      </w:pPr>
      <w:r>
        <w:t>Theorem 5. Exact average identity</w:t>
      </w:r>
    </w:p>
    <w:p w14:paraId="7B7C0916" w14:textId="77777777" w:rsidR="006A62CE" w:rsidRDefault="00000000">
      <w:pPr>
        <w:pStyle w:val="Equation"/>
      </w:pPr>
      <w:r>
        <w:t>Σ_y p_y χ_y - χ = I(Λ:Y|F) - I(Λ:Y).                                 (7)</w:t>
      </w:r>
    </w:p>
    <w:p w14:paraId="60757B3D" w14:textId="77777777" w:rsidR="006A62CE" w:rsidRDefault="00000000">
      <w:r>
        <w:t>Proof. Because Y is classical, I(Λ:F|Y)=Σ_y p_y I(Λ:F)_{ρ|y}=Σ_y p_yχ_y. The two chain-rule expansions</w:t>
      </w:r>
    </w:p>
    <w:p w14:paraId="1605C2E2" w14:textId="77777777" w:rsidR="006A62CE" w:rsidRDefault="00000000">
      <w:pPr>
        <w:pStyle w:val="Equation"/>
      </w:pPr>
      <w:r>
        <w:t>I(Λ:FY)=I(Λ:Y)+I(Λ:F|Y)=I(Λ:F)+I(Λ:Y|F)</w:t>
      </w:r>
    </w:p>
    <w:p w14:paraId="761204E8" w14:textId="77777777" w:rsidR="006A62CE" w:rsidRDefault="00000000">
      <w:r>
        <w:t>imply Eq. (7) after rearrangement. □</w:t>
      </w:r>
    </w:p>
    <w:p w14:paraId="2C5329F3" w14:textId="77777777" w:rsidR="006A62CE" w:rsidRDefault="00000000">
      <w:pPr>
        <w:pStyle w:val="Heading2"/>
      </w:pPr>
      <w:r>
        <w:t>Theorem 6. Average and selected-outcome bounds</w:t>
      </w:r>
    </w:p>
    <w:p w14:paraId="0D7D17E3" w14:textId="77777777" w:rsidR="006A62CE" w:rsidRDefault="00000000">
      <w:pPr>
        <w:pStyle w:val="Equation"/>
      </w:pPr>
      <w:r>
        <w:t>Σ_y p_y(χ_y-χ) ≤ I(Λ:T|F),                                            (8)</w:t>
      </w:r>
    </w:p>
    <w:p w14:paraId="130A1351" w14:textId="77777777" w:rsidR="006A62CE" w:rsidRDefault="00000000">
      <w:pPr>
        <w:pStyle w:val="Equation"/>
      </w:pPr>
      <w:r>
        <w:t>p_y(χ_y-χ) ≤ I(Λ:T|F) + (1-p_y)χ.                                    (9)</w:t>
      </w:r>
    </w:p>
    <w:p w14:paraId="0493D894" w14:textId="77777777" w:rsidR="006A62CE" w:rsidRDefault="00000000">
      <w:r>
        <w:t>Proof. The measurement channel T→Y and conditional data processing give I(Λ:Y|F)≤I(Λ:T|F). Since I(Λ:Y)≥0, Eq. (7) yields Eq. (8). For a chosen y, write the average deviation as p_y(χ_y-χ)+Σ_{z≠y}p_z(χ_z-χ). Because χ_z≥0, every complementary deviation is at least -χ, and hence Σ_{z≠y}p_z(χ_z-χ)≥-(1-p_y)χ. Combining this lower bound with Eq. (8) gives Eq. (9). Thus postselection redistributes fragment information; a favorable outcome must be reported with its probability and complementary outcomes. □</w:t>
      </w:r>
    </w:p>
    <w:p w14:paraId="36E86A8D" w14:textId="77777777" w:rsidR="006A62CE" w:rsidRDefault="00000000">
      <w:pPr>
        <w:pStyle w:val="Heading1"/>
      </w:pPr>
      <w:r>
        <w:t>VI. Exact equal-prior decision neutrality</w:t>
      </w:r>
    </w:p>
    <w:p w14:paraId="0D4C7353" w14:textId="77777777" w:rsidR="006A62CE" w:rsidRDefault="00000000">
      <w:r>
        <w:t>This section treats the exact binary decision task. For equal priors, let Δ_AB=ρ^{AB}_{E₂|0}-ρ^{AB}_{E₂|1}, Δ_BA=ρ^{BA}_{E₂|0}-ρ^{BA}_{E₂|1}, and Δ_coh=ρ^{coh}_{TE₂|0}-ρ^{coh}_{TE₂|1}. The fixed-order operators are 2×2 Hermitian matrices on E₂; the coherent operator is a 4×4 Hermitian matrix on T⊗E₂. We evaluate them in the ordered bases {|0&gt;,|1&gt;} and {|0_T0_E₂&gt;,|0_T1_E₂&gt;,|1_T0_E₂&gt;,|1_T1_E₂&gt;}.</w:t>
      </w:r>
    </w:p>
    <w:p w14:paraId="48F0F14C" w14:textId="77777777" w:rsidR="006A62CE" w:rsidRDefault="00000000">
      <w:r>
        <w:lastRenderedPageBreak/>
        <w:t>For the declared binary record model, the symbolic certificate constructs the physical-basis operators and verifies a unitary reduction to the following spectral normal forms. Let s=sin(α_B/2)cosθ. There exist unitaries V_AB, V_BA, and V_coh such that</w:t>
      </w:r>
    </w:p>
    <w:p w14:paraId="5E65C8A6" w14:textId="77777777" w:rsidR="006A62CE" w:rsidRDefault="00000000">
      <w:pPr>
        <w:pStyle w:val="Equation"/>
      </w:pPr>
      <w:r>
        <w:t>V_AB Δ_AB V_AB† = diag(s,-s),   V_BA Δ_BA V_BA† = diag(s,-s),</w:t>
      </w:r>
    </w:p>
    <w:p w14:paraId="01CF728F" w14:textId="77777777" w:rsidR="006A62CE" w:rsidRDefault="00000000">
      <w:pPr>
        <w:pStyle w:val="Equation"/>
      </w:pPr>
      <w:r>
        <w:t>V_coh Δ_coh V_coh† = diag(s,-s,0,0).</w:t>
      </w:r>
    </w:p>
    <w:p w14:paraId="0E6A7ACB" w14:textId="77777777" w:rsidR="006A62CE" w:rsidRDefault="00000000">
      <w:r>
        <w:t>These displayed matrices are the exact reduced normal forms, not assumed representatives. The archived symbolic calculation verifies coefficient by coefficient that p_coh(λ)-λ²p_AB(λ)=0 and p_coh(λ)-λ²p_BA(λ)=0 under the trigonometric normalization identities. Consequently,</w:t>
      </w:r>
    </w:p>
    <w:p w14:paraId="25F582FC" w14:textId="77777777" w:rsidR="006A62CE" w:rsidRDefault="00000000">
      <w:pPr>
        <w:pStyle w:val="Equation"/>
      </w:pPr>
      <w:r>
        <w:t>p_fix(λ)=det(λI-Δ_AB)=det(λI-Δ_BA)=λ²-sin²(α_B/2)cos²θ.          (10)</w:t>
      </w:r>
    </w:p>
    <w:p w14:paraId="56AEC1BB" w14:textId="77777777" w:rsidR="006A62CE" w:rsidRDefault="00000000">
      <w:r>
        <w:t>The coherent matrix has rank two. Elementary block reduction or a symbolic determinant expansion yields</w:t>
      </w:r>
    </w:p>
    <w:p w14:paraId="094B0804" w14:textId="77777777" w:rsidR="006A62CE" w:rsidRDefault="00000000">
      <w:pPr>
        <w:pStyle w:val="Equation"/>
      </w:pPr>
      <w:r>
        <w:t>p_coh(λ)=det(λI-Δ_coh)=λ²[λ²-sin²(α_B/2)cos²θ].                    (11)</w:t>
      </w:r>
    </w:p>
    <w:p w14:paraId="1E7F3634" w14:textId="77777777" w:rsidR="006A62CE" w:rsidRDefault="00000000">
      <w:r>
        <w:t>Thus Δ_coh adds two null directions and has the same nonzero eigenvalues ±|sin(α_B/2)cosθ| as either fixed order. The equality holds for arbitrary mismatch θ and arbitrary interaction strengths α_A and α_B within the model. The absence of α_A reflects the fact that, for this marginal binary decision observable, the first record interaction changes the embedding but not the two nonzero singular values. Therefore</w:t>
      </w:r>
    </w:p>
    <w:p w14:paraId="114F3DF0" w14:textId="77777777" w:rsidR="006A62CE" w:rsidRDefault="00000000">
      <w:pPr>
        <w:pStyle w:val="Equation"/>
      </w:pPr>
      <w:r>
        <w:t>||Δ_coh||₁=||Δ_AB||₁=||Δ_BA||₁=2|sin(α_B/2)cosθ|,                       (12)</w:t>
      </w:r>
    </w:p>
    <w:p w14:paraId="2807D9E2" w14:textId="77777777" w:rsidR="006A62CE" w:rsidRDefault="00000000">
      <w:pPr>
        <w:pStyle w:val="Equation"/>
      </w:pPr>
      <w:r>
        <w:t>P_H=1/2+1/4||Δ||₁=1/2+1/2|sin(α_B/2)cosθ|.                           (13)</w:t>
      </w:r>
    </w:p>
    <w:p w14:paraId="503E87B2" w14:textId="77777777" w:rsidR="006A62CE" w:rsidRDefault="00000000">
      <w:r>
        <w:t>This equality is not a generic statement that coherent order is useless. Holevo information depends on the spectra of the individual conditional states and their average, not only on the binary trace norm. Biased priors replace Δ by π₀ρ₀-π₁ρ₁, introducing a noncanceling common-state term; consequently the factorization in Eq. (11) need not hold. The result is therefore an exact, task-specific no-advantage theorem.</w:t>
      </w:r>
    </w:p>
    <w:p w14:paraId="09E89447" w14:textId="77777777" w:rsidR="006A62CE" w:rsidRDefault="00000000">
      <w:pPr>
        <w:pStyle w:val="Heading1"/>
      </w:pPr>
      <w:r>
        <w:t>VII. Numerical and operational results</w:t>
      </w:r>
    </w:p>
    <w:p w14:paraId="3A8D2EC0" w14:textId="77777777" w:rsidR="006A62CE" w:rsidRDefault="00000000">
      <w:pPr>
        <w:pStyle w:val="Heading2"/>
      </w:pPr>
      <w:r>
        <w:t>A. Matched-family joint-access capability</w:t>
      </w:r>
    </w:p>
    <w:p w14:paraId="5547561D" w14:textId="77777777" w:rsidR="006A62CE" w:rsidRDefault="00000000">
      <w:r>
        <w:t>For fixed dimensions, initial states, one use of each operation, and comparison with the two fixed orders, the model reaches a joint control-fragment Holevo advantage of 0.0839771759 bit near θ=0.700108 and full record strength. Discarding T removes the cross-order contribution and produces no fragment-only advantage over the corresponding fixed-order family.</w:t>
      </w:r>
    </w:p>
    <w:p w14:paraId="15DE5AC3" w14:textId="77777777" w:rsidR="00B014A9" w:rsidRDefault="00000000">
      <w:pPr>
        <w:keepNext/>
      </w:pPr>
      <w:r>
        <w:rPr>
          <w:b/>
        </w:rPr>
        <w:t>Comparator hierarchy. The reported Holevo advantage is deliberately resource matched, not a claim of optimality over the full causally separable process cone. The relevant hierarchy is as follows.</w:t>
      </w:r>
    </w:p>
    <w:tbl>
      <w:tblPr>
        <w:tblStyle w:val="TableGrid"/>
        <w:tblW w:w="0" w:type="auto"/>
        <w:jc w:val="center"/>
        <w:tblLook w:val="04A0" w:firstRow="1" w:lastRow="0" w:firstColumn="1" w:lastColumn="0" w:noHBand="0" w:noVBand="1"/>
      </w:tblPr>
      <w:tblGrid>
        <w:gridCol w:w="2469"/>
        <w:gridCol w:w="2469"/>
        <w:gridCol w:w="2469"/>
        <w:gridCol w:w="2469"/>
      </w:tblGrid>
      <w:tr w:rsidR="00B014A9" w14:paraId="26592B72" w14:textId="77777777">
        <w:trPr>
          <w:jc w:val="center"/>
        </w:trPr>
        <w:tc>
          <w:tcPr>
            <w:tcW w:w="2469" w:type="dxa"/>
            <w:shd w:val="clear" w:color="auto" w:fill="D9EAF7"/>
            <w:tcMar>
              <w:top w:w="90" w:type="dxa"/>
              <w:left w:w="90" w:type="dxa"/>
              <w:bottom w:w="90" w:type="dxa"/>
              <w:right w:w="90" w:type="dxa"/>
            </w:tcMar>
            <w:vAlign w:val="center"/>
          </w:tcPr>
          <w:p w14:paraId="0E4C9E65" w14:textId="77777777" w:rsidR="00B014A9" w:rsidRDefault="00000000">
            <w:pPr>
              <w:spacing w:after="40" w:line="240" w:lineRule="auto"/>
            </w:pPr>
            <w:r>
              <w:rPr>
                <w:b/>
              </w:rPr>
              <w:t>Comparator level</w:t>
            </w:r>
          </w:p>
        </w:tc>
        <w:tc>
          <w:tcPr>
            <w:tcW w:w="2469" w:type="dxa"/>
            <w:shd w:val="clear" w:color="auto" w:fill="D9EAF7"/>
            <w:tcMar>
              <w:top w:w="90" w:type="dxa"/>
              <w:left w:w="90" w:type="dxa"/>
              <w:bottom w:w="90" w:type="dxa"/>
              <w:right w:w="90" w:type="dxa"/>
            </w:tcMar>
            <w:vAlign w:val="center"/>
          </w:tcPr>
          <w:p w14:paraId="2C6551F9" w14:textId="77777777" w:rsidR="00B014A9" w:rsidRDefault="00000000">
            <w:pPr>
              <w:spacing w:after="40" w:line="240" w:lineRule="auto"/>
            </w:pPr>
            <w:r>
              <w:rPr>
                <w:b/>
              </w:rPr>
              <w:t>Used in this paper?</w:t>
            </w:r>
          </w:p>
        </w:tc>
        <w:tc>
          <w:tcPr>
            <w:tcW w:w="2469" w:type="dxa"/>
            <w:shd w:val="clear" w:color="auto" w:fill="D9EAF7"/>
            <w:tcMar>
              <w:top w:w="90" w:type="dxa"/>
              <w:left w:w="90" w:type="dxa"/>
              <w:bottom w:w="90" w:type="dxa"/>
              <w:right w:w="90" w:type="dxa"/>
            </w:tcMar>
            <w:vAlign w:val="center"/>
          </w:tcPr>
          <w:p w14:paraId="460689A9" w14:textId="77777777" w:rsidR="00B014A9" w:rsidRDefault="00000000">
            <w:pPr>
              <w:spacing w:after="40" w:line="240" w:lineRule="auto"/>
            </w:pPr>
            <w:r>
              <w:rPr>
                <w:b/>
              </w:rPr>
              <w:t>Role</w:t>
            </w:r>
          </w:p>
        </w:tc>
        <w:tc>
          <w:tcPr>
            <w:tcW w:w="2469" w:type="dxa"/>
            <w:shd w:val="clear" w:color="auto" w:fill="D9EAF7"/>
            <w:tcMar>
              <w:top w:w="90" w:type="dxa"/>
              <w:left w:w="90" w:type="dxa"/>
              <w:bottom w:w="90" w:type="dxa"/>
              <w:right w:w="90" w:type="dxa"/>
            </w:tcMar>
            <w:vAlign w:val="center"/>
          </w:tcPr>
          <w:p w14:paraId="03DBE7D3" w14:textId="77777777" w:rsidR="00B014A9" w:rsidRDefault="00000000">
            <w:pPr>
              <w:spacing w:after="40" w:line="240" w:lineRule="auto"/>
            </w:pPr>
            <w:r>
              <w:rPr>
                <w:b/>
              </w:rPr>
              <w:t>Claim status</w:t>
            </w:r>
          </w:p>
        </w:tc>
      </w:tr>
      <w:tr w:rsidR="00B014A9" w14:paraId="16061AA3" w14:textId="77777777">
        <w:trPr>
          <w:jc w:val="center"/>
        </w:trPr>
        <w:tc>
          <w:tcPr>
            <w:tcW w:w="2469" w:type="dxa"/>
            <w:tcMar>
              <w:top w:w="90" w:type="dxa"/>
              <w:left w:w="90" w:type="dxa"/>
              <w:bottom w:w="90" w:type="dxa"/>
              <w:right w:w="90" w:type="dxa"/>
            </w:tcMar>
            <w:vAlign w:val="center"/>
          </w:tcPr>
          <w:p w14:paraId="45E48B2E" w14:textId="77777777" w:rsidR="00B014A9" w:rsidRDefault="00000000">
            <w:pPr>
              <w:spacing w:after="40" w:line="240" w:lineRule="auto"/>
            </w:pPr>
            <w:r>
              <w:t>Fixed AB order</w:t>
            </w:r>
          </w:p>
        </w:tc>
        <w:tc>
          <w:tcPr>
            <w:tcW w:w="2469" w:type="dxa"/>
            <w:tcMar>
              <w:top w:w="90" w:type="dxa"/>
              <w:left w:w="90" w:type="dxa"/>
              <w:bottom w:w="90" w:type="dxa"/>
              <w:right w:w="90" w:type="dxa"/>
            </w:tcMar>
            <w:vAlign w:val="center"/>
          </w:tcPr>
          <w:p w14:paraId="6BBC4A96" w14:textId="77777777" w:rsidR="00B014A9" w:rsidRDefault="00000000">
            <w:pPr>
              <w:spacing w:after="40" w:line="240" w:lineRule="auto"/>
            </w:pPr>
            <w:r>
              <w:t>Yes</w:t>
            </w:r>
          </w:p>
        </w:tc>
        <w:tc>
          <w:tcPr>
            <w:tcW w:w="2469" w:type="dxa"/>
            <w:tcMar>
              <w:top w:w="90" w:type="dxa"/>
              <w:left w:w="90" w:type="dxa"/>
              <w:bottom w:w="90" w:type="dxa"/>
              <w:right w:w="90" w:type="dxa"/>
            </w:tcMar>
            <w:vAlign w:val="center"/>
          </w:tcPr>
          <w:p w14:paraId="31864565" w14:textId="77777777" w:rsidR="00B014A9" w:rsidRDefault="00000000">
            <w:pPr>
              <w:spacing w:after="40" w:line="240" w:lineRule="auto"/>
            </w:pPr>
            <w:r>
              <w:t>Baseline definite order</w:t>
            </w:r>
          </w:p>
        </w:tc>
        <w:tc>
          <w:tcPr>
            <w:tcW w:w="2469" w:type="dxa"/>
            <w:tcMar>
              <w:top w:w="90" w:type="dxa"/>
              <w:left w:w="90" w:type="dxa"/>
              <w:bottom w:w="90" w:type="dxa"/>
              <w:right w:w="90" w:type="dxa"/>
            </w:tcMar>
            <w:vAlign w:val="center"/>
          </w:tcPr>
          <w:p w14:paraId="0720F28F" w14:textId="77777777" w:rsidR="00B014A9" w:rsidRDefault="00000000">
            <w:pPr>
              <w:spacing w:after="40" w:line="240" w:lineRule="auto"/>
            </w:pPr>
            <w:r>
              <w:t>Directly computed</w:t>
            </w:r>
          </w:p>
        </w:tc>
      </w:tr>
      <w:tr w:rsidR="00B014A9" w14:paraId="0EF81B39" w14:textId="77777777">
        <w:trPr>
          <w:jc w:val="center"/>
        </w:trPr>
        <w:tc>
          <w:tcPr>
            <w:tcW w:w="2469" w:type="dxa"/>
            <w:tcMar>
              <w:top w:w="90" w:type="dxa"/>
              <w:left w:w="90" w:type="dxa"/>
              <w:bottom w:w="90" w:type="dxa"/>
              <w:right w:w="90" w:type="dxa"/>
            </w:tcMar>
            <w:vAlign w:val="center"/>
          </w:tcPr>
          <w:p w14:paraId="0338AC05" w14:textId="77777777" w:rsidR="00B014A9" w:rsidRDefault="00000000">
            <w:pPr>
              <w:spacing w:after="40" w:line="240" w:lineRule="auto"/>
            </w:pPr>
            <w:r>
              <w:t>Fixed BA order</w:t>
            </w:r>
          </w:p>
        </w:tc>
        <w:tc>
          <w:tcPr>
            <w:tcW w:w="2469" w:type="dxa"/>
            <w:tcMar>
              <w:top w:w="90" w:type="dxa"/>
              <w:left w:w="90" w:type="dxa"/>
              <w:bottom w:w="90" w:type="dxa"/>
              <w:right w:w="90" w:type="dxa"/>
            </w:tcMar>
            <w:vAlign w:val="center"/>
          </w:tcPr>
          <w:p w14:paraId="302BF643" w14:textId="77777777" w:rsidR="00B014A9" w:rsidRDefault="00000000">
            <w:pPr>
              <w:spacing w:after="40" w:line="240" w:lineRule="auto"/>
            </w:pPr>
            <w:r>
              <w:t>Yes</w:t>
            </w:r>
          </w:p>
        </w:tc>
        <w:tc>
          <w:tcPr>
            <w:tcW w:w="2469" w:type="dxa"/>
            <w:tcMar>
              <w:top w:w="90" w:type="dxa"/>
              <w:left w:w="90" w:type="dxa"/>
              <w:bottom w:w="90" w:type="dxa"/>
              <w:right w:w="90" w:type="dxa"/>
            </w:tcMar>
            <w:vAlign w:val="center"/>
          </w:tcPr>
          <w:p w14:paraId="219335E5" w14:textId="77777777" w:rsidR="00B014A9" w:rsidRDefault="00000000">
            <w:pPr>
              <w:spacing w:after="40" w:line="240" w:lineRule="auto"/>
            </w:pPr>
            <w:r>
              <w:t>Opposite definite-order baseline</w:t>
            </w:r>
          </w:p>
        </w:tc>
        <w:tc>
          <w:tcPr>
            <w:tcW w:w="2469" w:type="dxa"/>
            <w:tcMar>
              <w:top w:w="90" w:type="dxa"/>
              <w:left w:w="90" w:type="dxa"/>
              <w:bottom w:w="90" w:type="dxa"/>
              <w:right w:w="90" w:type="dxa"/>
            </w:tcMar>
            <w:vAlign w:val="center"/>
          </w:tcPr>
          <w:p w14:paraId="27875C99" w14:textId="77777777" w:rsidR="00B014A9" w:rsidRDefault="00000000">
            <w:pPr>
              <w:spacing w:after="40" w:line="240" w:lineRule="auto"/>
            </w:pPr>
            <w:r>
              <w:t>Directly computed</w:t>
            </w:r>
          </w:p>
        </w:tc>
      </w:tr>
      <w:tr w:rsidR="00B014A9" w14:paraId="05487536" w14:textId="77777777">
        <w:trPr>
          <w:jc w:val="center"/>
        </w:trPr>
        <w:tc>
          <w:tcPr>
            <w:tcW w:w="2469" w:type="dxa"/>
            <w:tcMar>
              <w:top w:w="90" w:type="dxa"/>
              <w:left w:w="90" w:type="dxa"/>
              <w:bottom w:w="90" w:type="dxa"/>
              <w:right w:w="90" w:type="dxa"/>
            </w:tcMar>
            <w:vAlign w:val="center"/>
          </w:tcPr>
          <w:p w14:paraId="5F3911AD" w14:textId="77777777" w:rsidR="00B014A9" w:rsidRDefault="00000000">
            <w:pPr>
              <w:spacing w:after="40" w:line="240" w:lineRule="auto"/>
            </w:pPr>
            <w:r>
              <w:t>Optimized fixed-order mixture</w:t>
            </w:r>
          </w:p>
        </w:tc>
        <w:tc>
          <w:tcPr>
            <w:tcW w:w="2469" w:type="dxa"/>
            <w:tcMar>
              <w:top w:w="90" w:type="dxa"/>
              <w:left w:w="90" w:type="dxa"/>
              <w:bottom w:w="90" w:type="dxa"/>
              <w:right w:w="90" w:type="dxa"/>
            </w:tcMar>
            <w:vAlign w:val="center"/>
          </w:tcPr>
          <w:p w14:paraId="2B680DFD" w14:textId="77777777" w:rsidR="00B014A9" w:rsidRDefault="00000000">
            <w:pPr>
              <w:spacing w:after="40" w:line="240" w:lineRule="auto"/>
            </w:pPr>
            <w:r>
              <w:t>For environment-only access</w:t>
            </w:r>
          </w:p>
        </w:tc>
        <w:tc>
          <w:tcPr>
            <w:tcW w:w="2469" w:type="dxa"/>
            <w:tcMar>
              <w:top w:w="90" w:type="dxa"/>
              <w:left w:w="90" w:type="dxa"/>
              <w:bottom w:w="90" w:type="dxa"/>
              <w:right w:w="90" w:type="dxa"/>
            </w:tcMar>
            <w:vAlign w:val="center"/>
          </w:tcPr>
          <w:p w14:paraId="51ED6B37" w14:textId="77777777" w:rsidR="00B014A9" w:rsidRDefault="00000000">
            <w:pPr>
              <w:spacing w:after="40" w:line="240" w:lineRule="auto"/>
            </w:pPr>
            <w:r>
              <w:t>Checks whether discarded control merely reproduces a mixture</w:t>
            </w:r>
          </w:p>
        </w:tc>
        <w:tc>
          <w:tcPr>
            <w:tcW w:w="2469" w:type="dxa"/>
            <w:tcMar>
              <w:top w:w="90" w:type="dxa"/>
              <w:left w:w="90" w:type="dxa"/>
              <w:bottom w:w="90" w:type="dxa"/>
              <w:right w:w="90" w:type="dxa"/>
            </w:tcMar>
            <w:vAlign w:val="center"/>
          </w:tcPr>
          <w:p w14:paraId="1C3701B0" w14:textId="77777777" w:rsidR="00B014A9" w:rsidRDefault="00000000">
            <w:pPr>
              <w:spacing w:after="40" w:line="240" w:lineRule="auto"/>
            </w:pPr>
            <w:r>
              <w:t>No fragment-only gain found in declared tests</w:t>
            </w:r>
          </w:p>
        </w:tc>
      </w:tr>
      <w:tr w:rsidR="00B014A9" w14:paraId="5F969939" w14:textId="77777777">
        <w:trPr>
          <w:jc w:val="center"/>
        </w:trPr>
        <w:tc>
          <w:tcPr>
            <w:tcW w:w="2469" w:type="dxa"/>
            <w:tcMar>
              <w:top w:w="90" w:type="dxa"/>
              <w:left w:w="90" w:type="dxa"/>
              <w:bottom w:w="90" w:type="dxa"/>
              <w:right w:w="90" w:type="dxa"/>
            </w:tcMar>
            <w:vAlign w:val="center"/>
          </w:tcPr>
          <w:p w14:paraId="47C55BE7" w14:textId="77777777" w:rsidR="00B014A9" w:rsidRDefault="00000000">
            <w:pPr>
              <w:spacing w:after="40" w:line="240" w:lineRule="auto"/>
            </w:pPr>
            <w:r>
              <w:t>Resource-matched controlled/fixed family</w:t>
            </w:r>
          </w:p>
        </w:tc>
        <w:tc>
          <w:tcPr>
            <w:tcW w:w="2469" w:type="dxa"/>
            <w:tcMar>
              <w:top w:w="90" w:type="dxa"/>
              <w:left w:w="90" w:type="dxa"/>
              <w:bottom w:w="90" w:type="dxa"/>
              <w:right w:w="90" w:type="dxa"/>
            </w:tcMar>
            <w:vAlign w:val="center"/>
          </w:tcPr>
          <w:p w14:paraId="79638B1A" w14:textId="77777777" w:rsidR="00B014A9" w:rsidRDefault="00000000">
            <w:pPr>
              <w:spacing w:after="40" w:line="240" w:lineRule="auto"/>
            </w:pPr>
            <w:r>
              <w:t>Yes</w:t>
            </w:r>
          </w:p>
        </w:tc>
        <w:tc>
          <w:tcPr>
            <w:tcW w:w="2469" w:type="dxa"/>
            <w:tcMar>
              <w:top w:w="90" w:type="dxa"/>
              <w:left w:w="90" w:type="dxa"/>
              <w:bottom w:w="90" w:type="dxa"/>
              <w:right w:w="90" w:type="dxa"/>
            </w:tcMar>
            <w:vAlign w:val="center"/>
          </w:tcPr>
          <w:p w14:paraId="7ADC4AA5" w14:textId="77777777" w:rsidR="00B014A9" w:rsidRDefault="00000000">
            <w:pPr>
              <w:spacing w:after="40" w:line="240" w:lineRule="auto"/>
            </w:pPr>
            <w:r>
              <w:t>Main fair comparator with same dimensions, states, operation uses, and record resources</w:t>
            </w:r>
          </w:p>
        </w:tc>
        <w:tc>
          <w:tcPr>
            <w:tcW w:w="2469" w:type="dxa"/>
            <w:tcMar>
              <w:top w:w="90" w:type="dxa"/>
              <w:left w:w="90" w:type="dxa"/>
              <w:bottom w:w="90" w:type="dxa"/>
              <w:right w:w="90" w:type="dxa"/>
            </w:tcMar>
            <w:vAlign w:val="center"/>
          </w:tcPr>
          <w:p w14:paraId="702892DA" w14:textId="77777777" w:rsidR="00B014A9" w:rsidRDefault="00000000">
            <w:pPr>
              <w:spacing w:after="40" w:line="240" w:lineRule="auto"/>
            </w:pPr>
            <w:r>
              <w:t>Joint-access Holevo advantage reported</w:t>
            </w:r>
          </w:p>
        </w:tc>
      </w:tr>
      <w:tr w:rsidR="00B014A9" w14:paraId="6ADB5EFB" w14:textId="77777777">
        <w:trPr>
          <w:jc w:val="center"/>
        </w:trPr>
        <w:tc>
          <w:tcPr>
            <w:tcW w:w="2469" w:type="dxa"/>
            <w:tcMar>
              <w:top w:w="90" w:type="dxa"/>
              <w:left w:w="90" w:type="dxa"/>
              <w:bottom w:w="90" w:type="dxa"/>
              <w:right w:w="90" w:type="dxa"/>
            </w:tcMar>
            <w:vAlign w:val="center"/>
          </w:tcPr>
          <w:p w14:paraId="2F810C6E" w14:textId="77777777" w:rsidR="00B014A9" w:rsidRDefault="00000000">
            <w:pPr>
              <w:spacing w:after="40" w:line="240" w:lineRule="auto"/>
            </w:pPr>
            <w:r>
              <w:t xml:space="preserve">Full causally separable </w:t>
            </w:r>
            <w:r>
              <w:lastRenderedPageBreak/>
              <w:t>cone</w:t>
            </w:r>
          </w:p>
        </w:tc>
        <w:tc>
          <w:tcPr>
            <w:tcW w:w="2469" w:type="dxa"/>
            <w:tcMar>
              <w:top w:w="90" w:type="dxa"/>
              <w:left w:w="90" w:type="dxa"/>
              <w:bottom w:w="90" w:type="dxa"/>
              <w:right w:w="90" w:type="dxa"/>
            </w:tcMar>
            <w:vAlign w:val="center"/>
          </w:tcPr>
          <w:p w14:paraId="04C6A0F2" w14:textId="77777777" w:rsidR="00B014A9" w:rsidRDefault="00000000">
            <w:pPr>
              <w:spacing w:after="40" w:line="240" w:lineRule="auto"/>
            </w:pPr>
            <w:r>
              <w:lastRenderedPageBreak/>
              <w:t>No</w:t>
            </w:r>
          </w:p>
        </w:tc>
        <w:tc>
          <w:tcPr>
            <w:tcW w:w="2469" w:type="dxa"/>
            <w:tcMar>
              <w:top w:w="90" w:type="dxa"/>
              <w:left w:w="90" w:type="dxa"/>
              <w:bottom w:w="90" w:type="dxa"/>
              <w:right w:w="90" w:type="dxa"/>
            </w:tcMar>
            <w:vAlign w:val="center"/>
          </w:tcPr>
          <w:p w14:paraId="5319143E" w14:textId="77777777" w:rsidR="00B014A9" w:rsidRDefault="00000000">
            <w:pPr>
              <w:spacing w:after="40" w:line="240" w:lineRule="auto"/>
            </w:pPr>
            <w:r>
              <w:t xml:space="preserve">Global process-level </w:t>
            </w:r>
            <w:r>
              <w:lastRenderedPageBreak/>
              <w:t>comparator</w:t>
            </w:r>
          </w:p>
        </w:tc>
        <w:tc>
          <w:tcPr>
            <w:tcW w:w="2469" w:type="dxa"/>
            <w:tcMar>
              <w:top w:w="90" w:type="dxa"/>
              <w:left w:w="90" w:type="dxa"/>
              <w:bottom w:w="90" w:type="dxa"/>
              <w:right w:w="90" w:type="dxa"/>
            </w:tcMar>
            <w:vAlign w:val="center"/>
          </w:tcPr>
          <w:p w14:paraId="042A6E70" w14:textId="77777777" w:rsidR="00B014A9" w:rsidRDefault="00000000">
            <w:pPr>
              <w:spacing w:after="40" w:line="240" w:lineRule="auto"/>
            </w:pPr>
            <w:r>
              <w:lastRenderedPageBreak/>
              <w:t>Outside scope; would require a separate full-</w:t>
            </w:r>
            <w:r>
              <w:lastRenderedPageBreak/>
              <w:t>cone optimization or analytic bound</w:t>
            </w:r>
          </w:p>
        </w:tc>
      </w:tr>
    </w:tbl>
    <w:p w14:paraId="2CBF72A0" w14:textId="77777777" w:rsidR="006A62CE" w:rsidRDefault="00000000">
      <w:pPr>
        <w:jc w:val="center"/>
      </w:pPr>
      <w:r>
        <w:rPr>
          <w:b/>
          <w:sz w:val="18"/>
        </w:rPr>
        <w:lastRenderedPageBreak/>
        <w:t>Table IV. Verified benchmark claims carried into the main text.</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1E5F14D1" w14:textId="77777777">
        <w:trPr>
          <w:jc w:val="center"/>
        </w:trPr>
        <w:tc>
          <w:tcPr>
            <w:tcW w:w="2469" w:type="dxa"/>
            <w:shd w:val="clear" w:color="auto" w:fill="D9EAF7"/>
            <w:tcMar>
              <w:top w:w="90" w:type="dxa"/>
              <w:left w:w="90" w:type="dxa"/>
              <w:bottom w:w="90" w:type="dxa"/>
              <w:right w:w="90" w:type="dxa"/>
            </w:tcMar>
            <w:vAlign w:val="center"/>
          </w:tcPr>
          <w:p w14:paraId="479D20AB" w14:textId="77777777" w:rsidR="006A62CE" w:rsidRDefault="00000000">
            <w:r>
              <w:rPr>
                <w:rFonts w:ascii="Arial" w:hAnsi="Arial"/>
                <w:b/>
                <w:sz w:val="17"/>
              </w:rPr>
              <w:t>Quantity</w:t>
            </w:r>
          </w:p>
        </w:tc>
        <w:tc>
          <w:tcPr>
            <w:tcW w:w="2469" w:type="dxa"/>
            <w:shd w:val="clear" w:color="auto" w:fill="D9EAF7"/>
            <w:tcMar>
              <w:top w:w="90" w:type="dxa"/>
              <w:left w:w="90" w:type="dxa"/>
              <w:bottom w:w="90" w:type="dxa"/>
              <w:right w:w="90" w:type="dxa"/>
            </w:tcMar>
            <w:vAlign w:val="center"/>
          </w:tcPr>
          <w:p w14:paraId="71FB10F7" w14:textId="77777777" w:rsidR="006A62CE" w:rsidRDefault="00000000">
            <w:r>
              <w:rPr>
                <w:rFonts w:ascii="Arial" w:hAnsi="Arial"/>
                <w:b/>
                <w:sz w:val="17"/>
              </w:rPr>
              <w:t>Coherent / joint-access result</w:t>
            </w:r>
          </w:p>
        </w:tc>
        <w:tc>
          <w:tcPr>
            <w:tcW w:w="2469" w:type="dxa"/>
            <w:shd w:val="clear" w:color="auto" w:fill="D9EAF7"/>
            <w:tcMar>
              <w:top w:w="90" w:type="dxa"/>
              <w:left w:w="90" w:type="dxa"/>
              <w:bottom w:w="90" w:type="dxa"/>
              <w:right w:w="90" w:type="dxa"/>
            </w:tcMar>
            <w:vAlign w:val="center"/>
          </w:tcPr>
          <w:p w14:paraId="47C6D38F" w14:textId="77777777" w:rsidR="006A62CE" w:rsidRDefault="00000000">
            <w:r>
              <w:rPr>
                <w:rFonts w:ascii="Arial" w:hAnsi="Arial"/>
                <w:b/>
                <w:sz w:val="17"/>
              </w:rPr>
              <w:t>Matched fixed-order result</w:t>
            </w:r>
          </w:p>
        </w:tc>
        <w:tc>
          <w:tcPr>
            <w:tcW w:w="2469" w:type="dxa"/>
            <w:shd w:val="clear" w:color="auto" w:fill="D9EAF7"/>
            <w:tcMar>
              <w:top w:w="90" w:type="dxa"/>
              <w:left w:w="90" w:type="dxa"/>
              <w:bottom w:w="90" w:type="dxa"/>
              <w:right w:w="90" w:type="dxa"/>
            </w:tcMar>
            <w:vAlign w:val="center"/>
          </w:tcPr>
          <w:p w14:paraId="31AEEA4B" w14:textId="77777777" w:rsidR="006A62CE" w:rsidRDefault="00000000">
            <w:r>
              <w:rPr>
                <w:rFonts w:ascii="Arial" w:hAnsi="Arial"/>
                <w:b/>
                <w:sz w:val="17"/>
              </w:rPr>
              <w:t>Conclusion</w:t>
            </w:r>
          </w:p>
        </w:tc>
      </w:tr>
      <w:tr w:rsidR="006A62CE" w14:paraId="56045093" w14:textId="77777777">
        <w:trPr>
          <w:jc w:val="center"/>
        </w:trPr>
        <w:tc>
          <w:tcPr>
            <w:tcW w:w="2469" w:type="dxa"/>
            <w:tcMar>
              <w:top w:w="90" w:type="dxa"/>
              <w:left w:w="90" w:type="dxa"/>
              <w:bottom w:w="90" w:type="dxa"/>
              <w:right w:w="90" w:type="dxa"/>
            </w:tcMar>
          </w:tcPr>
          <w:p w14:paraId="40AE5A09" w14:textId="77777777" w:rsidR="006A62CE" w:rsidRDefault="00000000">
            <w:r>
              <w:rPr>
                <w:sz w:val="15"/>
              </w:rPr>
              <w:t>Benchmark</w:t>
            </w:r>
          </w:p>
        </w:tc>
        <w:tc>
          <w:tcPr>
            <w:tcW w:w="2469" w:type="dxa"/>
            <w:tcMar>
              <w:top w:w="90" w:type="dxa"/>
              <w:left w:w="90" w:type="dxa"/>
              <w:bottom w:w="90" w:type="dxa"/>
              <w:right w:w="90" w:type="dxa"/>
            </w:tcMar>
          </w:tcPr>
          <w:p w14:paraId="7BC0E960" w14:textId="77777777" w:rsidR="006A62CE" w:rsidRDefault="00000000">
            <w:r>
              <w:rPr>
                <w:sz w:val="15"/>
              </w:rPr>
              <w:t>θ=0.7001079286; α=π; B-family/full-strength comparison</w:t>
            </w:r>
          </w:p>
        </w:tc>
        <w:tc>
          <w:tcPr>
            <w:tcW w:w="2469" w:type="dxa"/>
            <w:tcMar>
              <w:top w:w="90" w:type="dxa"/>
              <w:left w:w="90" w:type="dxa"/>
              <w:bottom w:w="90" w:type="dxa"/>
              <w:right w:w="90" w:type="dxa"/>
            </w:tcMar>
          </w:tcPr>
          <w:p w14:paraId="32C60D79" w14:textId="77777777" w:rsidR="006A62CE" w:rsidRDefault="00000000">
            <w:r>
              <w:rPr>
                <w:sz w:val="15"/>
              </w:rPr>
              <w:t>Same dimensions, states, operation uses, and record resources</w:t>
            </w:r>
          </w:p>
        </w:tc>
        <w:tc>
          <w:tcPr>
            <w:tcW w:w="2469" w:type="dxa"/>
            <w:tcMar>
              <w:top w:w="90" w:type="dxa"/>
              <w:left w:w="90" w:type="dxa"/>
              <w:bottom w:w="90" w:type="dxa"/>
              <w:right w:w="90" w:type="dxa"/>
            </w:tcMar>
          </w:tcPr>
          <w:p w14:paraId="72FFAFB3" w14:textId="77777777" w:rsidR="006A62CE" w:rsidRDefault="00000000">
            <w:r>
              <w:rPr>
                <w:sz w:val="15"/>
              </w:rPr>
              <w:t>Resource-matched family</w:t>
            </w:r>
          </w:p>
        </w:tc>
      </w:tr>
      <w:tr w:rsidR="006A62CE" w14:paraId="5FF8E82F" w14:textId="77777777">
        <w:trPr>
          <w:jc w:val="center"/>
        </w:trPr>
        <w:tc>
          <w:tcPr>
            <w:tcW w:w="2469" w:type="dxa"/>
            <w:tcMar>
              <w:top w:w="90" w:type="dxa"/>
              <w:left w:w="90" w:type="dxa"/>
              <w:bottom w:w="90" w:type="dxa"/>
              <w:right w:w="90" w:type="dxa"/>
            </w:tcMar>
          </w:tcPr>
          <w:p w14:paraId="7E93FCA1" w14:textId="77777777" w:rsidR="006A62CE" w:rsidRDefault="00000000">
            <w:r>
              <w:rPr>
                <w:sz w:val="15"/>
              </w:rPr>
              <w:t>B-only fragment, fixed order</w:t>
            </w:r>
          </w:p>
        </w:tc>
        <w:tc>
          <w:tcPr>
            <w:tcW w:w="2469" w:type="dxa"/>
            <w:tcMar>
              <w:top w:w="90" w:type="dxa"/>
              <w:left w:w="90" w:type="dxa"/>
              <w:bottom w:w="90" w:type="dxa"/>
              <w:right w:w="90" w:type="dxa"/>
            </w:tcMar>
          </w:tcPr>
          <w:p w14:paraId="0E4F958B" w14:textId="77777777" w:rsidR="006A62CE" w:rsidRDefault="00000000">
            <w:r>
              <w:rPr>
                <w:sz w:val="15"/>
              </w:rPr>
              <w:t>0.477538 bit</w:t>
            </w:r>
          </w:p>
        </w:tc>
        <w:tc>
          <w:tcPr>
            <w:tcW w:w="2469" w:type="dxa"/>
            <w:tcMar>
              <w:top w:w="90" w:type="dxa"/>
              <w:left w:w="90" w:type="dxa"/>
              <w:bottom w:w="90" w:type="dxa"/>
              <w:right w:w="90" w:type="dxa"/>
            </w:tcMar>
          </w:tcPr>
          <w:p w14:paraId="1E289C16" w14:textId="77777777" w:rsidR="006A62CE" w:rsidRDefault="00000000">
            <w:r>
              <w:rPr>
                <w:sz w:val="15"/>
              </w:rPr>
              <w:t>AB and BA equal for this composition</w:t>
            </w:r>
          </w:p>
        </w:tc>
        <w:tc>
          <w:tcPr>
            <w:tcW w:w="2469" w:type="dxa"/>
            <w:tcMar>
              <w:top w:w="90" w:type="dxa"/>
              <w:left w:w="90" w:type="dxa"/>
              <w:bottom w:w="90" w:type="dxa"/>
              <w:right w:w="90" w:type="dxa"/>
            </w:tcMar>
          </w:tcPr>
          <w:p w14:paraId="16F8C060" w14:textId="77777777" w:rsidR="006A62CE" w:rsidRDefault="00000000">
            <w:r>
              <w:rPr>
                <w:sz w:val="15"/>
              </w:rPr>
              <w:t>Reference value</w:t>
            </w:r>
          </w:p>
        </w:tc>
      </w:tr>
      <w:tr w:rsidR="006A62CE" w14:paraId="3CA91BF3" w14:textId="77777777">
        <w:trPr>
          <w:jc w:val="center"/>
        </w:trPr>
        <w:tc>
          <w:tcPr>
            <w:tcW w:w="2469" w:type="dxa"/>
            <w:tcMar>
              <w:top w:w="90" w:type="dxa"/>
              <w:left w:w="90" w:type="dxa"/>
              <w:bottom w:w="90" w:type="dxa"/>
              <w:right w:w="90" w:type="dxa"/>
            </w:tcMar>
          </w:tcPr>
          <w:p w14:paraId="6AF02D96" w14:textId="77777777" w:rsidR="006A62CE" w:rsidRDefault="00000000">
            <w:r>
              <w:rPr>
                <w:sz w:val="15"/>
              </w:rPr>
              <w:t>Joint T+B fragments, 1-3 records</w:t>
            </w:r>
          </w:p>
        </w:tc>
        <w:tc>
          <w:tcPr>
            <w:tcW w:w="2469" w:type="dxa"/>
            <w:tcMar>
              <w:top w:w="90" w:type="dxa"/>
              <w:left w:w="90" w:type="dxa"/>
              <w:bottom w:w="90" w:type="dxa"/>
              <w:right w:w="90" w:type="dxa"/>
            </w:tcMar>
          </w:tcPr>
          <w:p w14:paraId="1B11BD85" w14:textId="77777777" w:rsidR="006A62CE" w:rsidRDefault="00000000">
            <w:r>
              <w:rPr>
                <w:sz w:val="15"/>
              </w:rPr>
              <w:t>0.557230 bit</w:t>
            </w:r>
          </w:p>
        </w:tc>
        <w:tc>
          <w:tcPr>
            <w:tcW w:w="2469" w:type="dxa"/>
            <w:tcMar>
              <w:top w:w="90" w:type="dxa"/>
              <w:left w:w="90" w:type="dxa"/>
              <w:bottom w:w="90" w:type="dxa"/>
              <w:right w:w="90" w:type="dxa"/>
            </w:tcMar>
          </w:tcPr>
          <w:p w14:paraId="12A04BB2" w14:textId="77777777" w:rsidR="006A62CE" w:rsidRDefault="00000000">
            <w:r>
              <w:rPr>
                <w:sz w:val="15"/>
              </w:rPr>
              <w:t>0.477538 bit</w:t>
            </w:r>
          </w:p>
        </w:tc>
        <w:tc>
          <w:tcPr>
            <w:tcW w:w="2469" w:type="dxa"/>
            <w:tcMar>
              <w:top w:w="90" w:type="dxa"/>
              <w:left w:w="90" w:type="dxa"/>
              <w:bottom w:w="90" w:type="dxa"/>
              <w:right w:w="90" w:type="dxa"/>
            </w:tcMar>
          </w:tcPr>
          <w:p w14:paraId="2A849DDE" w14:textId="77777777" w:rsidR="006A62CE" w:rsidRDefault="00000000">
            <w:r>
              <w:rPr>
                <w:sz w:val="15"/>
              </w:rPr>
              <w:t>Advantage 0.079692 bit</w:t>
            </w:r>
          </w:p>
        </w:tc>
      </w:tr>
      <w:tr w:rsidR="006A62CE" w14:paraId="45671023" w14:textId="77777777">
        <w:trPr>
          <w:jc w:val="center"/>
        </w:trPr>
        <w:tc>
          <w:tcPr>
            <w:tcW w:w="2469" w:type="dxa"/>
            <w:tcMar>
              <w:top w:w="90" w:type="dxa"/>
              <w:left w:w="90" w:type="dxa"/>
              <w:bottom w:w="90" w:type="dxa"/>
              <w:right w:w="90" w:type="dxa"/>
            </w:tcMar>
          </w:tcPr>
          <w:p w14:paraId="3EA20C00" w14:textId="77777777" w:rsidR="006A62CE" w:rsidRDefault="00000000">
            <w:r>
              <w:rPr>
                <w:sz w:val="15"/>
              </w:rPr>
              <w:t>Joint T+all four B records</w:t>
            </w:r>
          </w:p>
        </w:tc>
        <w:tc>
          <w:tcPr>
            <w:tcW w:w="2469" w:type="dxa"/>
            <w:tcMar>
              <w:top w:w="90" w:type="dxa"/>
              <w:left w:w="90" w:type="dxa"/>
              <w:bottom w:w="90" w:type="dxa"/>
              <w:right w:w="90" w:type="dxa"/>
            </w:tcMar>
          </w:tcPr>
          <w:p w14:paraId="69B323DB" w14:textId="77777777" w:rsidR="006A62CE" w:rsidRDefault="00000000">
            <w:r>
              <w:rPr>
                <w:sz w:val="15"/>
              </w:rPr>
              <w:t>0.561515 bit</w:t>
            </w:r>
          </w:p>
        </w:tc>
        <w:tc>
          <w:tcPr>
            <w:tcW w:w="2469" w:type="dxa"/>
            <w:tcMar>
              <w:top w:w="90" w:type="dxa"/>
              <w:left w:w="90" w:type="dxa"/>
              <w:bottom w:w="90" w:type="dxa"/>
              <w:right w:w="90" w:type="dxa"/>
            </w:tcMar>
          </w:tcPr>
          <w:p w14:paraId="187369D1" w14:textId="77777777" w:rsidR="006A62CE" w:rsidRDefault="00000000">
            <w:r>
              <w:rPr>
                <w:sz w:val="15"/>
              </w:rPr>
              <w:t>0.477538 bit</w:t>
            </w:r>
          </w:p>
        </w:tc>
        <w:tc>
          <w:tcPr>
            <w:tcW w:w="2469" w:type="dxa"/>
            <w:tcMar>
              <w:top w:w="90" w:type="dxa"/>
              <w:left w:w="90" w:type="dxa"/>
              <w:bottom w:w="90" w:type="dxa"/>
              <w:right w:w="90" w:type="dxa"/>
            </w:tcMar>
          </w:tcPr>
          <w:p w14:paraId="1EAF47ED" w14:textId="77777777" w:rsidR="006A62CE" w:rsidRDefault="00000000">
            <w:r>
              <w:rPr>
                <w:sz w:val="15"/>
              </w:rPr>
              <w:t>Advantage 0.083977 bit</w:t>
            </w:r>
          </w:p>
        </w:tc>
      </w:tr>
      <w:tr w:rsidR="006A62CE" w14:paraId="06D4992B" w14:textId="77777777">
        <w:trPr>
          <w:jc w:val="center"/>
        </w:trPr>
        <w:tc>
          <w:tcPr>
            <w:tcW w:w="2469" w:type="dxa"/>
            <w:tcMar>
              <w:top w:w="90" w:type="dxa"/>
              <w:left w:w="90" w:type="dxa"/>
              <w:bottom w:w="90" w:type="dxa"/>
              <w:right w:w="90" w:type="dxa"/>
            </w:tcMar>
          </w:tcPr>
          <w:p w14:paraId="1DE2DBAB" w14:textId="77777777" w:rsidR="006A62CE" w:rsidRDefault="00000000">
            <w:r>
              <w:rPr>
                <w:sz w:val="15"/>
              </w:rPr>
              <w:t>Environment-only coherent access</w:t>
            </w:r>
          </w:p>
        </w:tc>
        <w:tc>
          <w:tcPr>
            <w:tcW w:w="2469" w:type="dxa"/>
            <w:tcMar>
              <w:top w:w="90" w:type="dxa"/>
              <w:left w:w="90" w:type="dxa"/>
              <w:bottom w:w="90" w:type="dxa"/>
              <w:right w:w="90" w:type="dxa"/>
            </w:tcMar>
          </w:tcPr>
          <w:p w14:paraId="2311F781" w14:textId="77777777" w:rsidR="006A62CE" w:rsidRDefault="00000000">
            <w:r>
              <w:rPr>
                <w:sz w:val="15"/>
              </w:rPr>
              <w:t>No advantage over optimized fixed-order mixture</w:t>
            </w:r>
          </w:p>
        </w:tc>
        <w:tc>
          <w:tcPr>
            <w:tcW w:w="2469" w:type="dxa"/>
            <w:tcMar>
              <w:top w:w="90" w:type="dxa"/>
              <w:left w:w="90" w:type="dxa"/>
              <w:bottom w:w="90" w:type="dxa"/>
              <w:right w:w="90" w:type="dxa"/>
            </w:tcMar>
          </w:tcPr>
          <w:p w14:paraId="0350D52D" w14:textId="77777777" w:rsidR="006A62CE" w:rsidRDefault="00000000">
            <w:r>
              <w:rPr>
                <w:sz w:val="15"/>
              </w:rPr>
              <w:t>Control-inaccessible reduced state is the equal order mixture</w:t>
            </w:r>
          </w:p>
        </w:tc>
        <w:tc>
          <w:tcPr>
            <w:tcW w:w="2469" w:type="dxa"/>
            <w:tcMar>
              <w:top w:w="90" w:type="dxa"/>
              <w:left w:w="90" w:type="dxa"/>
              <w:bottom w:w="90" w:type="dxa"/>
              <w:right w:w="90" w:type="dxa"/>
            </w:tcMar>
          </w:tcPr>
          <w:p w14:paraId="4F0ED37F" w14:textId="77777777" w:rsidR="006A62CE" w:rsidRDefault="00000000">
            <w:r>
              <w:rPr>
                <w:sz w:val="15"/>
              </w:rPr>
              <w:t>No fragment-only gain</w:t>
            </w:r>
          </w:p>
        </w:tc>
      </w:tr>
      <w:tr w:rsidR="006A62CE" w14:paraId="61CD1685" w14:textId="77777777">
        <w:trPr>
          <w:jc w:val="center"/>
        </w:trPr>
        <w:tc>
          <w:tcPr>
            <w:tcW w:w="2469" w:type="dxa"/>
            <w:tcMar>
              <w:top w:w="90" w:type="dxa"/>
              <w:left w:w="90" w:type="dxa"/>
              <w:bottom w:w="90" w:type="dxa"/>
              <w:right w:w="90" w:type="dxa"/>
            </w:tcMar>
          </w:tcPr>
          <w:p w14:paraId="2504AB90" w14:textId="77777777" w:rsidR="006A62CE" w:rsidRDefault="00000000">
            <w:r>
              <w:rPr>
                <w:sz w:val="15"/>
              </w:rPr>
              <w:t>Equal-prior Helstrom</w:t>
            </w:r>
          </w:p>
        </w:tc>
        <w:tc>
          <w:tcPr>
            <w:tcW w:w="2469" w:type="dxa"/>
            <w:tcMar>
              <w:top w:w="90" w:type="dxa"/>
              <w:left w:w="90" w:type="dxa"/>
              <w:bottom w:w="90" w:type="dxa"/>
              <w:right w:w="90" w:type="dxa"/>
            </w:tcMar>
          </w:tcPr>
          <w:p w14:paraId="3F367BD8" w14:textId="77777777" w:rsidR="006A62CE" w:rsidRDefault="00000000">
            <w:r>
              <w:rPr>
                <w:sz w:val="15"/>
              </w:rPr>
              <w:t>P_H=1/2+|sin(α_B/2)cosθ|/2</w:t>
            </w:r>
          </w:p>
        </w:tc>
        <w:tc>
          <w:tcPr>
            <w:tcW w:w="2469" w:type="dxa"/>
            <w:tcMar>
              <w:top w:w="90" w:type="dxa"/>
              <w:left w:w="90" w:type="dxa"/>
              <w:bottom w:w="90" w:type="dxa"/>
              <w:right w:w="90" w:type="dxa"/>
            </w:tcMar>
          </w:tcPr>
          <w:p w14:paraId="2839E0B7" w14:textId="77777777" w:rsidR="006A62CE" w:rsidRDefault="00000000">
            <w:r>
              <w:rPr>
                <w:sz w:val="15"/>
              </w:rPr>
              <w:t>Same expression for AB and BA</w:t>
            </w:r>
          </w:p>
        </w:tc>
        <w:tc>
          <w:tcPr>
            <w:tcW w:w="2469" w:type="dxa"/>
            <w:tcMar>
              <w:top w:w="90" w:type="dxa"/>
              <w:left w:w="90" w:type="dxa"/>
              <w:bottom w:w="90" w:type="dxa"/>
              <w:right w:w="90" w:type="dxa"/>
            </w:tcMar>
          </w:tcPr>
          <w:p w14:paraId="4F6E9EC0" w14:textId="77777777" w:rsidR="006A62CE" w:rsidRDefault="00000000">
            <w:r>
              <w:rPr>
                <w:sz w:val="15"/>
              </w:rPr>
              <w:t>Exact neutrality</w:t>
            </w:r>
          </w:p>
        </w:tc>
      </w:tr>
      <w:tr w:rsidR="006A62CE" w14:paraId="0633D666" w14:textId="77777777">
        <w:trPr>
          <w:jc w:val="center"/>
        </w:trPr>
        <w:tc>
          <w:tcPr>
            <w:tcW w:w="2469" w:type="dxa"/>
            <w:tcMar>
              <w:top w:w="90" w:type="dxa"/>
              <w:left w:w="90" w:type="dxa"/>
              <w:bottom w:w="90" w:type="dxa"/>
              <w:right w:w="90" w:type="dxa"/>
            </w:tcMar>
          </w:tcPr>
          <w:p w14:paraId="13E5E64D" w14:textId="77777777" w:rsidR="006A62CE" w:rsidRDefault="00000000">
            <w:r>
              <w:rPr>
                <w:sz w:val="15"/>
              </w:rPr>
              <w:t>Numerical validation</w:t>
            </w:r>
          </w:p>
        </w:tc>
        <w:tc>
          <w:tcPr>
            <w:tcW w:w="2469" w:type="dxa"/>
            <w:tcMar>
              <w:top w:w="90" w:type="dxa"/>
              <w:left w:w="90" w:type="dxa"/>
              <w:bottom w:w="90" w:type="dxa"/>
              <w:right w:w="90" w:type="dxa"/>
            </w:tcMar>
          </w:tcPr>
          <w:p w14:paraId="75C0E6B8" w14:textId="77777777" w:rsidR="006A62CE" w:rsidRDefault="00000000">
            <w:r>
              <w:t>Gate-level NumPy and Qiskit statevector checks; reduced-normal-form check; finite-shot ideal sampling</w:t>
            </w:r>
          </w:p>
        </w:tc>
        <w:tc>
          <w:tcPr>
            <w:tcW w:w="2469" w:type="dxa"/>
            <w:tcMar>
              <w:top w:w="90" w:type="dxa"/>
              <w:left w:w="90" w:type="dxa"/>
              <w:bottom w:w="90" w:type="dxa"/>
              <w:right w:w="90" w:type="dxa"/>
            </w:tcMar>
          </w:tcPr>
          <w:p w14:paraId="04601D61" w14:textId="77777777" w:rsidR="006A62CE" w:rsidRDefault="00000000">
            <w:r>
              <w:t>Analytic formula and matched fixed-order circuits</w:t>
            </w:r>
          </w:p>
        </w:tc>
        <w:tc>
          <w:tcPr>
            <w:tcW w:w="2469" w:type="dxa"/>
            <w:tcMar>
              <w:top w:w="90" w:type="dxa"/>
              <w:left w:w="90" w:type="dxa"/>
              <w:bottom w:w="90" w:type="dxa"/>
              <w:right w:w="90" w:type="dxa"/>
            </w:tcMar>
          </w:tcPr>
          <w:p w14:paraId="7653C184" w14:textId="77777777" w:rsidR="006A62CE" w:rsidRDefault="00000000">
            <w:r>
              <w:t>Computational validation; no physical-device measurements</w:t>
            </w:r>
          </w:p>
        </w:tc>
      </w:tr>
    </w:tbl>
    <w:p w14:paraId="0DB4BAD5" w14:textId="77777777" w:rsidR="006A62CE" w:rsidRDefault="006A62CE">
      <w:pPr>
        <w:spacing w:after="20"/>
      </w:pPr>
    </w:p>
    <w:p w14:paraId="6970448F" w14:textId="77777777" w:rsidR="006A62CE" w:rsidRDefault="00000000">
      <w:r>
        <w:t>Relation to communication-power results. Zhao et al. show that coherently controlled order can enhance one-shot classical-message transmission in their communication framework while also identifying asymptotic limits relative to shared entanglement [22]. The present work asks a different question: whether order control improves environmental records, redundancy, or equal-prior binary record discrimination. The comparison is therefore not a contradiction but a task separation. Communication power concerns message transmission through controlled-order resources; the present record setting concerns which information about Λ is available in F, in T+F, or after postselection. The key lesson is that a controlled-order advantage must be indexed by task, comparator, and accessible systems.</w:t>
      </w:r>
    </w:p>
    <w:p w14:paraId="7CD7A809" w14:textId="77777777" w:rsidR="00B014A9" w:rsidRDefault="00000000">
      <w:pPr>
        <w:keepNext/>
      </w:pPr>
      <w:r>
        <w:rPr>
          <w:b/>
        </w:rPr>
        <w:t>Table IVa. Task-level comparison with communication-power results.</w:t>
      </w:r>
    </w:p>
    <w:tbl>
      <w:tblPr>
        <w:tblStyle w:val="TableGrid"/>
        <w:tblW w:w="0" w:type="auto"/>
        <w:jc w:val="center"/>
        <w:tblLook w:val="04A0" w:firstRow="1" w:lastRow="0" w:firstColumn="1" w:lastColumn="0" w:noHBand="0" w:noVBand="1"/>
      </w:tblPr>
      <w:tblGrid>
        <w:gridCol w:w="2469"/>
        <w:gridCol w:w="2469"/>
        <w:gridCol w:w="2469"/>
        <w:gridCol w:w="2469"/>
      </w:tblGrid>
      <w:tr w:rsidR="00B014A9" w14:paraId="19E98FA4" w14:textId="77777777">
        <w:trPr>
          <w:jc w:val="center"/>
        </w:trPr>
        <w:tc>
          <w:tcPr>
            <w:tcW w:w="2469" w:type="dxa"/>
            <w:shd w:val="clear" w:color="auto" w:fill="D9EAF7"/>
            <w:tcMar>
              <w:top w:w="90" w:type="dxa"/>
              <w:left w:w="90" w:type="dxa"/>
              <w:bottom w:w="90" w:type="dxa"/>
              <w:right w:w="90" w:type="dxa"/>
            </w:tcMar>
            <w:vAlign w:val="center"/>
          </w:tcPr>
          <w:p w14:paraId="78564DFD" w14:textId="77777777" w:rsidR="00B014A9" w:rsidRDefault="00000000">
            <w:pPr>
              <w:spacing w:after="40" w:line="240" w:lineRule="auto"/>
            </w:pPr>
            <w:r>
              <w:rPr>
                <w:b/>
              </w:rPr>
              <w:t>Dimension of comparison</w:t>
            </w:r>
          </w:p>
        </w:tc>
        <w:tc>
          <w:tcPr>
            <w:tcW w:w="2469" w:type="dxa"/>
            <w:shd w:val="clear" w:color="auto" w:fill="D9EAF7"/>
            <w:tcMar>
              <w:top w:w="90" w:type="dxa"/>
              <w:left w:w="90" w:type="dxa"/>
              <w:bottom w:w="90" w:type="dxa"/>
              <w:right w:w="90" w:type="dxa"/>
            </w:tcMar>
            <w:vAlign w:val="center"/>
          </w:tcPr>
          <w:p w14:paraId="21FAD255" w14:textId="77777777" w:rsidR="00B014A9" w:rsidRDefault="00000000">
            <w:pPr>
              <w:spacing w:after="40" w:line="240" w:lineRule="auto"/>
            </w:pPr>
            <w:r>
              <w:rPr>
                <w:b/>
              </w:rPr>
              <w:t>Zhao et al. [22]</w:t>
            </w:r>
          </w:p>
        </w:tc>
        <w:tc>
          <w:tcPr>
            <w:tcW w:w="2469" w:type="dxa"/>
            <w:shd w:val="clear" w:color="auto" w:fill="D9EAF7"/>
            <w:tcMar>
              <w:top w:w="90" w:type="dxa"/>
              <w:left w:w="90" w:type="dxa"/>
              <w:bottom w:w="90" w:type="dxa"/>
              <w:right w:w="90" w:type="dxa"/>
            </w:tcMar>
            <w:vAlign w:val="center"/>
          </w:tcPr>
          <w:p w14:paraId="2E63BE41" w14:textId="77777777" w:rsidR="00B014A9" w:rsidRDefault="00000000">
            <w:pPr>
              <w:spacing w:after="40" w:line="240" w:lineRule="auto"/>
            </w:pPr>
            <w:r>
              <w:rPr>
                <w:b/>
              </w:rPr>
              <w:t>This work</w:t>
            </w:r>
          </w:p>
        </w:tc>
        <w:tc>
          <w:tcPr>
            <w:tcW w:w="2469" w:type="dxa"/>
            <w:shd w:val="clear" w:color="auto" w:fill="D9EAF7"/>
            <w:tcMar>
              <w:top w:w="90" w:type="dxa"/>
              <w:left w:w="90" w:type="dxa"/>
              <w:bottom w:w="90" w:type="dxa"/>
              <w:right w:w="90" w:type="dxa"/>
            </w:tcMar>
            <w:vAlign w:val="center"/>
          </w:tcPr>
          <w:p w14:paraId="43868001" w14:textId="77777777" w:rsidR="00B014A9" w:rsidRDefault="00000000">
            <w:pPr>
              <w:spacing w:after="40" w:line="240" w:lineRule="auto"/>
            </w:pPr>
            <w:r>
              <w:rPr>
                <w:b/>
              </w:rPr>
              <w:t>Consequence</w:t>
            </w:r>
          </w:p>
        </w:tc>
      </w:tr>
      <w:tr w:rsidR="00B014A9" w14:paraId="6E556B9C" w14:textId="77777777">
        <w:trPr>
          <w:jc w:val="center"/>
        </w:trPr>
        <w:tc>
          <w:tcPr>
            <w:tcW w:w="2469" w:type="dxa"/>
            <w:tcMar>
              <w:top w:w="90" w:type="dxa"/>
              <w:left w:w="90" w:type="dxa"/>
              <w:bottom w:w="90" w:type="dxa"/>
              <w:right w:w="90" w:type="dxa"/>
            </w:tcMar>
            <w:vAlign w:val="center"/>
          </w:tcPr>
          <w:p w14:paraId="303841EC" w14:textId="77777777" w:rsidR="00B014A9" w:rsidRDefault="00000000">
            <w:pPr>
              <w:spacing w:after="40" w:line="240" w:lineRule="auto"/>
            </w:pPr>
            <w:r>
              <w:t>Primary task</w:t>
            </w:r>
          </w:p>
        </w:tc>
        <w:tc>
          <w:tcPr>
            <w:tcW w:w="2469" w:type="dxa"/>
            <w:tcMar>
              <w:top w:w="90" w:type="dxa"/>
              <w:left w:w="90" w:type="dxa"/>
              <w:bottom w:w="90" w:type="dxa"/>
              <w:right w:w="90" w:type="dxa"/>
            </w:tcMar>
            <w:vAlign w:val="center"/>
          </w:tcPr>
          <w:p w14:paraId="7945CF2D" w14:textId="77777777" w:rsidR="00B014A9" w:rsidRDefault="00000000">
            <w:pPr>
              <w:spacing w:after="40" w:line="240" w:lineRule="auto"/>
            </w:pPr>
            <w:r>
              <w:t>One-shot classical-message transmission</w:t>
            </w:r>
          </w:p>
        </w:tc>
        <w:tc>
          <w:tcPr>
            <w:tcW w:w="2469" w:type="dxa"/>
            <w:tcMar>
              <w:top w:w="90" w:type="dxa"/>
              <w:left w:w="90" w:type="dxa"/>
              <w:bottom w:w="90" w:type="dxa"/>
              <w:right w:w="90" w:type="dxa"/>
            </w:tcMar>
            <w:vAlign w:val="center"/>
          </w:tcPr>
          <w:p w14:paraId="0629E664" w14:textId="77777777" w:rsidR="00B014A9" w:rsidRDefault="00000000">
            <w:pPr>
              <w:spacing w:after="40" w:line="240" w:lineRule="auto"/>
            </w:pPr>
            <w:r>
              <w:t>Environmental-record access, redundancy, and binary discrimination</w:t>
            </w:r>
          </w:p>
        </w:tc>
        <w:tc>
          <w:tcPr>
            <w:tcW w:w="2469" w:type="dxa"/>
            <w:tcMar>
              <w:top w:w="90" w:type="dxa"/>
              <w:left w:w="90" w:type="dxa"/>
              <w:bottom w:w="90" w:type="dxa"/>
              <w:right w:w="90" w:type="dxa"/>
            </w:tcMar>
            <w:vAlign w:val="center"/>
          </w:tcPr>
          <w:p w14:paraId="10783351" w14:textId="77777777" w:rsidR="00B014A9" w:rsidRDefault="00000000">
            <w:pPr>
              <w:spacing w:after="40" w:line="240" w:lineRule="auto"/>
            </w:pPr>
            <w:r>
              <w:t>Advantages are task indexed, not universal</w:t>
            </w:r>
          </w:p>
        </w:tc>
      </w:tr>
      <w:tr w:rsidR="00B014A9" w14:paraId="71C1ABF0" w14:textId="77777777">
        <w:trPr>
          <w:jc w:val="center"/>
        </w:trPr>
        <w:tc>
          <w:tcPr>
            <w:tcW w:w="2469" w:type="dxa"/>
            <w:tcMar>
              <w:top w:w="90" w:type="dxa"/>
              <w:left w:w="90" w:type="dxa"/>
              <w:bottom w:w="90" w:type="dxa"/>
              <w:right w:w="90" w:type="dxa"/>
            </w:tcMar>
            <w:vAlign w:val="center"/>
          </w:tcPr>
          <w:p w14:paraId="5E0E40EC" w14:textId="77777777" w:rsidR="00B014A9" w:rsidRDefault="00000000">
            <w:pPr>
              <w:spacing w:after="40" w:line="240" w:lineRule="auto"/>
            </w:pPr>
            <w:r>
              <w:t>Accessible systems</w:t>
            </w:r>
          </w:p>
        </w:tc>
        <w:tc>
          <w:tcPr>
            <w:tcW w:w="2469" w:type="dxa"/>
            <w:tcMar>
              <w:top w:w="90" w:type="dxa"/>
              <w:left w:w="90" w:type="dxa"/>
              <w:bottom w:w="90" w:type="dxa"/>
              <w:right w:w="90" w:type="dxa"/>
            </w:tcMar>
            <w:vAlign w:val="center"/>
          </w:tcPr>
          <w:p w14:paraId="63DD844F" w14:textId="77777777" w:rsidR="00B014A9" w:rsidRDefault="00000000">
            <w:pPr>
              <w:spacing w:after="40" w:line="240" w:lineRule="auto"/>
            </w:pPr>
            <w:r>
              <w:t>Communication resources in the controlled-order protocol</w:t>
            </w:r>
          </w:p>
        </w:tc>
        <w:tc>
          <w:tcPr>
            <w:tcW w:w="2469" w:type="dxa"/>
            <w:tcMar>
              <w:top w:w="90" w:type="dxa"/>
              <w:left w:w="90" w:type="dxa"/>
              <w:bottom w:w="90" w:type="dxa"/>
              <w:right w:w="90" w:type="dxa"/>
            </w:tcMar>
            <w:vAlign w:val="center"/>
          </w:tcPr>
          <w:p w14:paraId="4429BE17" w14:textId="77777777" w:rsidR="00B014A9" w:rsidRDefault="00000000">
            <w:pPr>
              <w:spacing w:after="40" w:line="240" w:lineRule="auto"/>
            </w:pPr>
            <w:r>
              <w:t>Fragment F, joint T+F access, dephased T, discarded T, or postselected outcomes</w:t>
            </w:r>
          </w:p>
        </w:tc>
        <w:tc>
          <w:tcPr>
            <w:tcW w:w="2469" w:type="dxa"/>
            <w:tcMar>
              <w:top w:w="90" w:type="dxa"/>
              <w:left w:w="90" w:type="dxa"/>
              <w:bottom w:w="90" w:type="dxa"/>
              <w:right w:w="90" w:type="dxa"/>
            </w:tcMar>
            <w:vAlign w:val="center"/>
          </w:tcPr>
          <w:p w14:paraId="106E47B5" w14:textId="77777777" w:rsidR="00B014A9" w:rsidRDefault="00000000">
            <w:pPr>
              <w:spacing w:after="40" w:line="240" w:lineRule="auto"/>
            </w:pPr>
            <w:r>
              <w:t>Access restrictions determine which contribution survives</w:t>
            </w:r>
          </w:p>
        </w:tc>
      </w:tr>
      <w:tr w:rsidR="00B014A9" w14:paraId="294EE9B5" w14:textId="77777777">
        <w:trPr>
          <w:jc w:val="center"/>
        </w:trPr>
        <w:tc>
          <w:tcPr>
            <w:tcW w:w="2469" w:type="dxa"/>
            <w:tcMar>
              <w:top w:w="90" w:type="dxa"/>
              <w:left w:w="90" w:type="dxa"/>
              <w:bottom w:w="90" w:type="dxa"/>
              <w:right w:w="90" w:type="dxa"/>
            </w:tcMar>
            <w:vAlign w:val="center"/>
          </w:tcPr>
          <w:p w14:paraId="2DEE1771" w14:textId="77777777" w:rsidR="00B014A9" w:rsidRDefault="00000000">
            <w:pPr>
              <w:spacing w:after="40" w:line="240" w:lineRule="auto"/>
            </w:pPr>
            <w:r>
              <w:t>Main positive result</w:t>
            </w:r>
          </w:p>
        </w:tc>
        <w:tc>
          <w:tcPr>
            <w:tcW w:w="2469" w:type="dxa"/>
            <w:tcMar>
              <w:top w:w="90" w:type="dxa"/>
              <w:left w:w="90" w:type="dxa"/>
              <w:bottom w:w="90" w:type="dxa"/>
              <w:right w:w="90" w:type="dxa"/>
            </w:tcMar>
            <w:vAlign w:val="center"/>
          </w:tcPr>
          <w:p w14:paraId="22060A44" w14:textId="77777777" w:rsidR="00B014A9" w:rsidRDefault="00000000">
            <w:pPr>
              <w:spacing w:after="40" w:line="240" w:lineRule="auto"/>
            </w:pPr>
            <w:r>
              <w:t>Controlled order can enhance communication in the declared framework</w:t>
            </w:r>
          </w:p>
        </w:tc>
        <w:tc>
          <w:tcPr>
            <w:tcW w:w="2469" w:type="dxa"/>
            <w:tcMar>
              <w:top w:w="90" w:type="dxa"/>
              <w:left w:w="90" w:type="dxa"/>
              <w:bottom w:w="90" w:type="dxa"/>
              <w:right w:w="90" w:type="dxa"/>
            </w:tcMar>
            <w:vAlign w:val="center"/>
          </w:tcPr>
          <w:p w14:paraId="5CC49FBA" w14:textId="77777777" w:rsidR="00B014A9" w:rsidRDefault="00000000">
            <w:pPr>
              <w:spacing w:after="40" w:line="240" w:lineRule="auto"/>
            </w:pPr>
            <w:r>
              <w:t>Joint T+fragment Holevo information gains 0.083977 bit in the matched family</w:t>
            </w:r>
          </w:p>
        </w:tc>
        <w:tc>
          <w:tcPr>
            <w:tcW w:w="2469" w:type="dxa"/>
            <w:tcMar>
              <w:top w:w="90" w:type="dxa"/>
              <w:left w:w="90" w:type="dxa"/>
              <w:bottom w:w="90" w:type="dxa"/>
              <w:right w:w="90" w:type="dxa"/>
            </w:tcMar>
            <w:vAlign w:val="center"/>
          </w:tcPr>
          <w:p w14:paraId="7E309847" w14:textId="77777777" w:rsidR="00B014A9" w:rsidRDefault="00000000">
            <w:pPr>
              <w:spacing w:after="40" w:line="240" w:lineRule="auto"/>
            </w:pPr>
            <w:r>
              <w:t>Joint access can help without creating fragment-only objectivity</w:t>
            </w:r>
          </w:p>
        </w:tc>
      </w:tr>
      <w:tr w:rsidR="00B014A9" w14:paraId="199D4692" w14:textId="77777777">
        <w:trPr>
          <w:jc w:val="center"/>
        </w:trPr>
        <w:tc>
          <w:tcPr>
            <w:tcW w:w="2469" w:type="dxa"/>
            <w:tcMar>
              <w:top w:w="90" w:type="dxa"/>
              <w:left w:w="90" w:type="dxa"/>
              <w:bottom w:w="90" w:type="dxa"/>
              <w:right w:w="90" w:type="dxa"/>
            </w:tcMar>
            <w:vAlign w:val="center"/>
          </w:tcPr>
          <w:p w14:paraId="53689FCA" w14:textId="77777777" w:rsidR="00B014A9" w:rsidRDefault="00000000">
            <w:pPr>
              <w:spacing w:after="40" w:line="240" w:lineRule="auto"/>
            </w:pPr>
            <w:r>
              <w:lastRenderedPageBreak/>
              <w:t>Main limiting result</w:t>
            </w:r>
          </w:p>
        </w:tc>
        <w:tc>
          <w:tcPr>
            <w:tcW w:w="2469" w:type="dxa"/>
            <w:tcMar>
              <w:top w:w="90" w:type="dxa"/>
              <w:left w:w="90" w:type="dxa"/>
              <w:bottom w:w="90" w:type="dxa"/>
              <w:right w:w="90" w:type="dxa"/>
            </w:tcMar>
            <w:vAlign w:val="center"/>
          </w:tcPr>
          <w:p w14:paraId="6FC6FCD2" w14:textId="77777777" w:rsidR="00B014A9" w:rsidRDefault="00000000">
            <w:pPr>
              <w:spacing w:after="40" w:line="240" w:lineRule="auto"/>
            </w:pPr>
            <w:r>
              <w:t>Asymptotic limits relative to shared entanglement are identified</w:t>
            </w:r>
          </w:p>
        </w:tc>
        <w:tc>
          <w:tcPr>
            <w:tcW w:w="2469" w:type="dxa"/>
            <w:tcMar>
              <w:top w:w="90" w:type="dxa"/>
              <w:left w:w="90" w:type="dxa"/>
              <w:bottom w:w="90" w:type="dxa"/>
              <w:right w:w="90" w:type="dxa"/>
            </w:tcMar>
            <w:vAlign w:val="center"/>
          </w:tcPr>
          <w:p w14:paraId="3FDDE878" w14:textId="77777777" w:rsidR="00B014A9" w:rsidRDefault="00000000">
            <w:pPr>
              <w:spacing w:after="40" w:line="240" w:lineRule="auto"/>
            </w:pPr>
            <w:r>
              <w:t>Equal-prior Helstrom neutrality and no coherent fragment-only redundancy advantage in tested class</w:t>
            </w:r>
          </w:p>
        </w:tc>
        <w:tc>
          <w:tcPr>
            <w:tcW w:w="2469" w:type="dxa"/>
            <w:tcMar>
              <w:top w:w="90" w:type="dxa"/>
              <w:left w:w="90" w:type="dxa"/>
              <w:bottom w:w="90" w:type="dxa"/>
              <w:right w:w="90" w:type="dxa"/>
            </w:tcMar>
            <w:vAlign w:val="center"/>
          </w:tcPr>
          <w:p w14:paraId="3F2C17E3" w14:textId="77777777" w:rsidR="00B014A9" w:rsidRDefault="00000000">
            <w:pPr>
              <w:spacing w:after="40" w:line="240" w:lineRule="auto"/>
            </w:pPr>
            <w:r>
              <w:t>Controlled order should not be treated as a generic source of objective records</w:t>
            </w:r>
          </w:p>
        </w:tc>
      </w:tr>
    </w:tbl>
    <w:p w14:paraId="13031139" w14:textId="77777777" w:rsidR="006A62CE" w:rsidRDefault="00000000">
      <w:pPr>
        <w:pStyle w:val="Heading2"/>
      </w:pPr>
      <w:r>
        <w:t>B. Many-fragment objectivity</w:t>
      </w:r>
    </w:p>
    <w:p w14:paraId="77B86110" w14:textId="77777777" w:rsidR="006A62CE" w:rsidRDefault="00000000">
      <w:r>
        <w:t>Complete subset enumeration through eight records and mismatch-dependent surfaces for N=2,4,6 show no coherent fragment-only redundancy advantage over the better fixed order under either mean-fragment or worst-fragment 0.9-bit thresholds. Repeated perfect records form GHZ-type repetition encodings: proper nonempty subfragments lose the family coherence and saturate at the one-record ensemble. The complete-family control-assisted bonus remains bounded, so the bonus per record vanishes asymptotically.</w:t>
      </w:r>
    </w:p>
    <w:p w14:paraId="7770AD34" w14:textId="77777777" w:rsidR="006A62CE" w:rsidRDefault="00000000">
      <w:pPr>
        <w:jc w:val="center"/>
      </w:pPr>
      <w:r>
        <w:rPr>
          <w:b/>
          <w:sz w:val="18"/>
        </w:rPr>
        <w:t>Table V. Many-fragment conclusions. Numerical arrays remain in the reproducibility package.</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7952828D" w14:textId="77777777">
        <w:trPr>
          <w:jc w:val="center"/>
        </w:trPr>
        <w:tc>
          <w:tcPr>
            <w:tcW w:w="2469" w:type="dxa"/>
            <w:shd w:val="clear" w:color="auto" w:fill="D9EAF7"/>
            <w:tcMar>
              <w:top w:w="90" w:type="dxa"/>
              <w:left w:w="90" w:type="dxa"/>
              <w:bottom w:w="90" w:type="dxa"/>
              <w:right w:w="90" w:type="dxa"/>
            </w:tcMar>
            <w:vAlign w:val="center"/>
          </w:tcPr>
          <w:p w14:paraId="38B1909D" w14:textId="77777777" w:rsidR="006A62CE" w:rsidRDefault="00000000">
            <w:r>
              <w:rPr>
                <w:b/>
              </w:rPr>
              <w:t>Domain</w:t>
            </w:r>
          </w:p>
        </w:tc>
        <w:tc>
          <w:tcPr>
            <w:tcW w:w="2469" w:type="dxa"/>
            <w:shd w:val="clear" w:color="auto" w:fill="D9EAF7"/>
            <w:tcMar>
              <w:top w:w="90" w:type="dxa"/>
              <w:left w:w="90" w:type="dxa"/>
              <w:bottom w:w="90" w:type="dxa"/>
              <w:right w:w="90" w:type="dxa"/>
            </w:tcMar>
            <w:vAlign w:val="center"/>
          </w:tcPr>
          <w:p w14:paraId="0F05A018" w14:textId="77777777" w:rsidR="006A62CE" w:rsidRDefault="00000000">
            <w:r>
              <w:rPr>
                <w:b/>
              </w:rPr>
              <w:t>Mean-fragment result</w:t>
            </w:r>
          </w:p>
        </w:tc>
        <w:tc>
          <w:tcPr>
            <w:tcW w:w="2469" w:type="dxa"/>
            <w:shd w:val="clear" w:color="auto" w:fill="D9EAF7"/>
            <w:tcMar>
              <w:top w:w="90" w:type="dxa"/>
              <w:left w:w="90" w:type="dxa"/>
              <w:bottom w:w="90" w:type="dxa"/>
              <w:right w:w="90" w:type="dxa"/>
            </w:tcMar>
            <w:vAlign w:val="center"/>
          </w:tcPr>
          <w:p w14:paraId="65DB7004" w14:textId="77777777" w:rsidR="006A62CE" w:rsidRDefault="00000000">
            <w:r>
              <w:rPr>
                <w:b/>
              </w:rPr>
              <w:t>Worst/global result</w:t>
            </w:r>
          </w:p>
        </w:tc>
        <w:tc>
          <w:tcPr>
            <w:tcW w:w="2469" w:type="dxa"/>
            <w:shd w:val="clear" w:color="auto" w:fill="D9EAF7"/>
            <w:tcMar>
              <w:top w:w="90" w:type="dxa"/>
              <w:left w:w="90" w:type="dxa"/>
              <w:bottom w:w="90" w:type="dxa"/>
              <w:right w:w="90" w:type="dxa"/>
            </w:tcMar>
            <w:vAlign w:val="center"/>
          </w:tcPr>
          <w:p w14:paraId="2E65253E" w14:textId="77777777" w:rsidR="006A62CE" w:rsidRDefault="00000000">
            <w:r>
              <w:rPr>
                <w:b/>
              </w:rPr>
              <w:t>Interpretation</w:t>
            </w:r>
          </w:p>
        </w:tc>
      </w:tr>
      <w:tr w:rsidR="006A62CE" w14:paraId="6C05A8D4" w14:textId="77777777">
        <w:trPr>
          <w:jc w:val="center"/>
        </w:trPr>
        <w:tc>
          <w:tcPr>
            <w:tcW w:w="2469" w:type="dxa"/>
            <w:tcMar>
              <w:top w:w="90" w:type="dxa"/>
              <w:left w:w="90" w:type="dxa"/>
              <w:bottom w:w="90" w:type="dxa"/>
              <w:right w:w="90" w:type="dxa"/>
            </w:tcMar>
          </w:tcPr>
          <w:p w14:paraId="6D6762EA" w14:textId="77777777" w:rsidR="006A62CE" w:rsidRDefault="00000000">
            <w:r>
              <w:rPr>
                <w:sz w:val="15"/>
              </w:rPr>
              <w:t>2,4,6,8</w:t>
            </w:r>
          </w:p>
        </w:tc>
        <w:tc>
          <w:tcPr>
            <w:tcW w:w="2469" w:type="dxa"/>
            <w:tcMar>
              <w:top w:w="90" w:type="dxa"/>
              <w:left w:w="90" w:type="dxa"/>
              <w:bottom w:w="90" w:type="dxa"/>
              <w:right w:w="90" w:type="dxa"/>
            </w:tcMar>
          </w:tcPr>
          <w:p w14:paraId="324AA96A" w14:textId="77777777" w:rsidR="006A62CE" w:rsidRDefault="00000000">
            <w:r>
              <w:rPr>
                <w:sz w:val="15"/>
              </w:rPr>
              <w:t>Complete subset enumeration at five mismatch values</w:t>
            </w:r>
          </w:p>
        </w:tc>
        <w:tc>
          <w:tcPr>
            <w:tcW w:w="2469" w:type="dxa"/>
            <w:tcMar>
              <w:top w:w="90" w:type="dxa"/>
              <w:left w:w="90" w:type="dxa"/>
              <w:bottom w:w="90" w:type="dxa"/>
              <w:right w:w="90" w:type="dxa"/>
            </w:tcMar>
          </w:tcPr>
          <w:p w14:paraId="75520B77" w14:textId="77777777" w:rsidR="006A62CE" w:rsidRDefault="00000000">
            <w:r>
              <w:rPr>
                <w:sz w:val="15"/>
              </w:rPr>
              <w:t>No coherent fragment-only improvement over best fixed order</w:t>
            </w:r>
          </w:p>
        </w:tc>
        <w:tc>
          <w:tcPr>
            <w:tcW w:w="2469" w:type="dxa"/>
            <w:tcMar>
              <w:top w:w="90" w:type="dxa"/>
              <w:left w:w="90" w:type="dxa"/>
              <w:bottom w:w="90" w:type="dxa"/>
              <w:right w:w="90" w:type="dxa"/>
            </w:tcMar>
          </w:tcPr>
          <w:p w14:paraId="678ECAC4" w14:textId="77777777" w:rsidR="006A62CE" w:rsidRDefault="00000000">
            <w:r>
              <w:rPr>
                <w:sz w:val="15"/>
              </w:rPr>
              <w:t>No coherent fragment-only improvement over best fixed order</w:t>
            </w:r>
          </w:p>
        </w:tc>
      </w:tr>
      <w:tr w:rsidR="006A62CE" w14:paraId="3901091F" w14:textId="77777777">
        <w:trPr>
          <w:jc w:val="center"/>
        </w:trPr>
        <w:tc>
          <w:tcPr>
            <w:tcW w:w="2469" w:type="dxa"/>
            <w:tcMar>
              <w:top w:w="90" w:type="dxa"/>
              <w:left w:w="90" w:type="dxa"/>
              <w:bottom w:w="90" w:type="dxa"/>
              <w:right w:w="90" w:type="dxa"/>
            </w:tcMar>
          </w:tcPr>
          <w:p w14:paraId="302AAEE0" w14:textId="77777777" w:rsidR="006A62CE" w:rsidRDefault="00000000">
            <w:r>
              <w:rPr>
                <w:sz w:val="15"/>
              </w:rPr>
              <w:t>8 at θ=0.7001079286</w:t>
            </w:r>
          </w:p>
        </w:tc>
        <w:tc>
          <w:tcPr>
            <w:tcW w:w="2469" w:type="dxa"/>
            <w:tcMar>
              <w:top w:w="90" w:type="dxa"/>
              <w:left w:w="90" w:type="dxa"/>
              <w:bottom w:w="90" w:type="dxa"/>
              <w:right w:w="90" w:type="dxa"/>
            </w:tcMar>
          </w:tcPr>
          <w:p w14:paraId="7083838A" w14:textId="77777777" w:rsidR="006A62CE" w:rsidRDefault="00000000">
            <w:r>
              <w:rPr>
                <w:sz w:val="15"/>
              </w:rPr>
              <w:t>Best fixed: mδ=3, Rδ≈2.67</w:t>
            </w:r>
          </w:p>
        </w:tc>
        <w:tc>
          <w:tcPr>
            <w:tcW w:w="2469" w:type="dxa"/>
            <w:tcMar>
              <w:top w:w="90" w:type="dxa"/>
              <w:left w:w="90" w:type="dxa"/>
              <w:bottom w:w="90" w:type="dxa"/>
              <w:right w:w="90" w:type="dxa"/>
            </w:tcMar>
          </w:tcPr>
          <w:p w14:paraId="005A3FDF" w14:textId="77777777" w:rsidR="006A62CE" w:rsidRDefault="00000000">
            <w:r>
              <w:rPr>
                <w:sz w:val="15"/>
              </w:rPr>
              <w:t>Best fixed: mδ=5, Rδ=1.6</w:t>
            </w:r>
          </w:p>
        </w:tc>
        <w:tc>
          <w:tcPr>
            <w:tcW w:w="2469" w:type="dxa"/>
            <w:tcMar>
              <w:top w:w="90" w:type="dxa"/>
              <w:left w:w="90" w:type="dxa"/>
              <w:bottom w:w="90" w:type="dxa"/>
              <w:right w:w="90" w:type="dxa"/>
            </w:tcMar>
          </w:tcPr>
          <w:p w14:paraId="2150EF82" w14:textId="77777777" w:rsidR="006A62CE" w:rsidRDefault="00000000">
            <w:r>
              <w:rPr>
                <w:sz w:val="15"/>
              </w:rPr>
              <w:t>Coherent fragment-only never reaches 0.9 bit</w:t>
            </w:r>
          </w:p>
        </w:tc>
      </w:tr>
      <w:tr w:rsidR="006A62CE" w14:paraId="35101F3B" w14:textId="77777777">
        <w:trPr>
          <w:jc w:val="center"/>
        </w:trPr>
        <w:tc>
          <w:tcPr>
            <w:tcW w:w="2469" w:type="dxa"/>
            <w:tcMar>
              <w:top w:w="90" w:type="dxa"/>
              <w:left w:w="90" w:type="dxa"/>
              <w:bottom w:w="90" w:type="dxa"/>
              <w:right w:w="90" w:type="dxa"/>
            </w:tcMar>
          </w:tcPr>
          <w:p w14:paraId="77C7C9A4" w14:textId="77777777" w:rsidR="006A62CE" w:rsidRDefault="00000000">
            <w:r>
              <w:rPr>
                <w:sz w:val="15"/>
              </w:rPr>
              <w:t>8, one-record mean</w:t>
            </w:r>
          </w:p>
        </w:tc>
        <w:tc>
          <w:tcPr>
            <w:tcW w:w="2469" w:type="dxa"/>
            <w:tcMar>
              <w:top w:w="90" w:type="dxa"/>
              <w:left w:w="90" w:type="dxa"/>
              <w:bottom w:w="90" w:type="dxa"/>
              <w:right w:w="90" w:type="dxa"/>
            </w:tcMar>
          </w:tcPr>
          <w:p w14:paraId="468FA18C" w14:textId="77777777" w:rsidR="006A62CE" w:rsidRDefault="00000000">
            <w:r>
              <w:rPr>
                <w:sz w:val="15"/>
              </w:rPr>
              <w:t>Best fixed 0.738769 bit</w:t>
            </w:r>
          </w:p>
        </w:tc>
        <w:tc>
          <w:tcPr>
            <w:tcW w:w="2469" w:type="dxa"/>
            <w:tcMar>
              <w:top w:w="90" w:type="dxa"/>
              <w:left w:w="90" w:type="dxa"/>
              <w:bottom w:w="90" w:type="dxa"/>
              <w:right w:w="90" w:type="dxa"/>
            </w:tcMar>
          </w:tcPr>
          <w:p w14:paraId="0F355333" w14:textId="77777777" w:rsidR="006A62CE" w:rsidRDefault="00000000">
            <w:r>
              <w:rPr>
                <w:sz w:val="15"/>
              </w:rPr>
              <w:t>Coherent fragment-only 0.498335 bit</w:t>
            </w:r>
          </w:p>
        </w:tc>
        <w:tc>
          <w:tcPr>
            <w:tcW w:w="2469" w:type="dxa"/>
            <w:tcMar>
              <w:top w:w="90" w:type="dxa"/>
              <w:left w:w="90" w:type="dxa"/>
              <w:bottom w:w="90" w:type="dxa"/>
              <w:right w:w="90" w:type="dxa"/>
            </w:tcMar>
          </w:tcPr>
          <w:p w14:paraId="0BC58F1E" w14:textId="77777777" w:rsidR="006A62CE" w:rsidRDefault="00000000">
            <w:r>
              <w:rPr>
                <w:sz w:val="15"/>
              </w:rPr>
              <w:t>Joint T+fragment mean 0.642540 bit</w:t>
            </w:r>
          </w:p>
        </w:tc>
      </w:tr>
      <w:tr w:rsidR="006A62CE" w14:paraId="6F3FA08D" w14:textId="77777777">
        <w:trPr>
          <w:jc w:val="center"/>
        </w:trPr>
        <w:tc>
          <w:tcPr>
            <w:tcW w:w="2469" w:type="dxa"/>
            <w:tcMar>
              <w:top w:w="90" w:type="dxa"/>
              <w:left w:w="90" w:type="dxa"/>
              <w:bottom w:w="90" w:type="dxa"/>
              <w:right w:w="90" w:type="dxa"/>
            </w:tcMar>
          </w:tcPr>
          <w:p w14:paraId="468AF027" w14:textId="77777777" w:rsidR="006A62CE" w:rsidRDefault="00000000">
            <w:r>
              <w:rPr>
                <w:sz w:val="15"/>
              </w:rPr>
              <w:t>8, full environment</w:t>
            </w:r>
          </w:p>
        </w:tc>
        <w:tc>
          <w:tcPr>
            <w:tcW w:w="2469" w:type="dxa"/>
            <w:tcMar>
              <w:top w:w="90" w:type="dxa"/>
              <w:left w:w="90" w:type="dxa"/>
              <w:bottom w:w="90" w:type="dxa"/>
              <w:right w:w="90" w:type="dxa"/>
            </w:tcMar>
          </w:tcPr>
          <w:p w14:paraId="5B2BDA37" w14:textId="77777777" w:rsidR="006A62CE" w:rsidRDefault="00000000">
            <w:r>
              <w:rPr>
                <w:sz w:val="15"/>
              </w:rPr>
              <w:t>Best fixed reaches 1 bit by size 5</w:t>
            </w:r>
          </w:p>
        </w:tc>
        <w:tc>
          <w:tcPr>
            <w:tcW w:w="2469" w:type="dxa"/>
            <w:tcMar>
              <w:top w:w="90" w:type="dxa"/>
              <w:left w:w="90" w:type="dxa"/>
              <w:bottom w:w="90" w:type="dxa"/>
              <w:right w:w="90" w:type="dxa"/>
            </w:tcMar>
          </w:tcPr>
          <w:p w14:paraId="3C5F45D9" w14:textId="77777777" w:rsidR="006A62CE" w:rsidRDefault="00000000">
            <w:r>
              <w:rPr>
                <w:sz w:val="15"/>
              </w:rPr>
              <w:t>Coherent fragment-only 0.715579 bit</w:t>
            </w:r>
          </w:p>
        </w:tc>
        <w:tc>
          <w:tcPr>
            <w:tcW w:w="2469" w:type="dxa"/>
            <w:tcMar>
              <w:top w:w="90" w:type="dxa"/>
              <w:left w:w="90" w:type="dxa"/>
              <w:bottom w:w="90" w:type="dxa"/>
              <w:right w:w="90" w:type="dxa"/>
            </w:tcMar>
          </w:tcPr>
          <w:p w14:paraId="2E0775D1" w14:textId="77777777" w:rsidR="006A62CE" w:rsidRDefault="00000000">
            <w:r>
              <w:rPr>
                <w:sz w:val="15"/>
              </w:rPr>
              <w:t>Joint T+all records 0.943735 bit; global decoder only</w:t>
            </w:r>
          </w:p>
        </w:tc>
      </w:tr>
    </w:tbl>
    <w:p w14:paraId="76FF21F4" w14:textId="77777777" w:rsidR="006A62CE" w:rsidRDefault="006A62CE">
      <w:pPr>
        <w:spacing w:after="20"/>
      </w:pPr>
    </w:p>
    <w:p w14:paraId="34C67AAA" w14:textId="77777777" w:rsidR="006A62CE" w:rsidRDefault="00000000">
      <w:pPr>
        <w:pStyle w:val="Heading2"/>
      </w:pPr>
      <w:r>
        <w:t>C. Local spectrum-broadcast diagnostics</w:t>
      </w:r>
    </w:p>
    <w:p w14:paraId="3D5C8A53" w14:textId="77777777" w:rsidR="006A62CE" w:rsidRDefault="00000000">
      <w:r>
        <w:t>At the benchmark mismatch, coherent environment-only singleton records remain nonorthogonal and at a finite optimized trace distance from every ideal orthogonal qubit record pair. Conditional total correlations diagnose additional nonproduct structure. These finite diagnostics do not constitute a global minimum distance to the full spectrum-broadcast-state set.</w:t>
      </w:r>
    </w:p>
    <w:p w14:paraId="22335F55" w14:textId="77777777" w:rsidR="006A62CE" w:rsidRDefault="00000000">
      <w:pPr>
        <w:pStyle w:val="Heading2"/>
      </w:pPr>
      <w:r>
        <w:t>D. Noise and phase structure</w:t>
      </w:r>
    </w:p>
    <w:p w14:paraId="27DCF6CE" w14:textId="77777777" w:rsidR="006A62CE" w:rsidRDefault="00000000">
      <w:r>
        <w:t>Control dephasing removes the coherence-sensitive contribution. Partial strengths, reduced-state noise, and collision-level target and record noise leave positive joint-access regions but do not generate a fragment-only redundancy advantage in the declared tests. Robustness is regime specific and is not claimed for arbitrary channels.</w:t>
      </w:r>
    </w:p>
    <w:p w14:paraId="62F4F5C8" w14:textId="77777777" w:rsidR="006A62CE" w:rsidRDefault="00000000">
      <w:pPr>
        <w:pStyle w:val="Heading1"/>
      </w:pPr>
      <w:r>
        <w:t>VIII. Supporting record-augmented causal certification</w:t>
      </w:r>
    </w:p>
    <w:p w14:paraId="6A85D54B" w14:textId="77777777" w:rsidR="006A62CE" w:rsidRDefault="00000000">
      <w:r>
        <w:t>Let P denote the valid finite-dimensional process-matrix space for the declared laboratory interfaces. For the base tripartite switch interface, the Hilbert spaces are ordered A_I,A_O,B_I,B_O,C_I, Charlie has no output, normalized processes have trace 4, and causally separable processes decompose as W_sep=W^(A≺B≺C)+W^(B≺A≺C), with positive semidefinite summands. The A≺B≺C summand satisfies the replacement-map constraints _C W=_{B_O C}W and _{B_I B_O C}W=_{A_O B_I B_O C}W; the opposite order exchanges A and B. Let W_sw∈P be causally nonseparable. Let W_ext append local record outputs E_A,E_B, and define R=D_A⊗D_B⊗id_C, where D_A and D_B are completely positive deterministic local discard maps satisfying R(W_ext)=W_sw. Because deterministic local processing preserves each fixed-order cone and the normalization constraints, R maps the extended causally separable cone into the base causally separable cone.</w:t>
      </w:r>
    </w:p>
    <w:p w14:paraId="41A9001E" w14:textId="77777777" w:rsidR="00B014A9" w:rsidRDefault="00000000">
      <w:r>
        <w:t>This result is included as a supporting certification check. Its role is not to establish the main conceptual advance, but to ensure that deterministic local record augmentation does not invalidate an independently certified causally nonseparable base process.</w:t>
      </w:r>
    </w:p>
    <w:p w14:paraId="2B547DB5" w14:textId="77777777" w:rsidR="006A62CE" w:rsidRDefault="00000000">
      <w:pPr>
        <w:pStyle w:val="Heading2"/>
      </w:pPr>
      <w:r>
        <w:lastRenderedPageBreak/>
        <w:t>Proposition 1. Ancilla stability and witness pullback</w:t>
      </w:r>
    </w:p>
    <w:p w14:paraId="63674BF6" w14:textId="77777777" w:rsidR="006A62CE" w:rsidRDefault="00000000">
      <w:r>
        <w:t>W_ext is causally nonseparable. If S_sw is a causal witness for W_sw, then</w:t>
      </w:r>
    </w:p>
    <w:p w14:paraId="0CDA19F3" w14:textId="77777777" w:rsidR="006A62CE" w:rsidRDefault="00000000">
      <w:pPr>
        <w:pStyle w:val="Equation"/>
      </w:pPr>
      <w:r>
        <w:t>S_ext = R*(S_sw)                                                              (14)</w:t>
      </w:r>
    </w:p>
    <w:p w14:paraId="2622433D" w14:textId="77777777" w:rsidR="006A62CE" w:rsidRDefault="00000000">
      <w:r>
        <w:t>is a causal witness for W_ext. Here R* is the Hilbert-Schmidt (Heisenberg) adjoint, defined by</w:t>
      </w:r>
    </w:p>
    <w:p w14:paraId="0B7A4B56" w14:textId="77777777" w:rsidR="006A62CE" w:rsidRDefault="00000000">
      <w:pPr>
        <w:pStyle w:val="Equation"/>
      </w:pPr>
      <w:r>
        <w:t>Tr[R*(S)W]=Tr[S R(W)]                                                       (15)</w:t>
      </w:r>
    </w:p>
    <w:p w14:paraId="6DA8E35A" w14:textId="77777777" w:rsidR="006A62CE" w:rsidRDefault="00000000">
      <w:r>
        <w:t>for every compatible witness operator S and process W. Linearity of R implies linearity of R*. For every causally separable extended process W_ext^sep, closure under deterministic local operations gives R(W_ext^sep) causally separable; hence</w:t>
      </w:r>
    </w:p>
    <w:p w14:paraId="0326EDFB" w14:textId="77777777" w:rsidR="006A62CE" w:rsidRDefault="00000000">
      <w:pPr>
        <w:pStyle w:val="Equation"/>
      </w:pPr>
      <w:r>
        <w:t>Tr[S_ext W_ext^sep]=Tr[S_sw R(W_ext^sep)]≥0.                                (16)</w:t>
      </w:r>
    </w:p>
    <w:p w14:paraId="07847A72" w14:textId="77777777" w:rsidR="006A62CE" w:rsidRDefault="00000000">
      <w:r>
        <w:t>On the target extension,</w:t>
      </w:r>
    </w:p>
    <w:p w14:paraId="005A2D1B" w14:textId="77777777" w:rsidR="006A62CE" w:rsidRDefault="00000000">
      <w:pPr>
        <w:pStyle w:val="Equation"/>
      </w:pPr>
      <w:r>
        <w:t>Tr(S_ext W_ext)=Tr[S_sw R(W_ext)]=Tr(S_sw W_sw)&lt;0.                          (17)</w:t>
      </w:r>
    </w:p>
    <w:p w14:paraId="1E810612" w14:textId="77777777" w:rsidR="006A62CE" w:rsidRDefault="00000000">
      <w:r>
        <w:t>Therefore S_ext is nonnegative on the separable cone and negative on W_ext. If W_ext itself were causally separable, closure under R would make W_sw causally separable, a contradiction. Thus the extended process remains causally nonseparable. □</w:t>
      </w:r>
    </w:p>
    <w:p w14:paraId="56D29DA2" w14:textId="77777777" w:rsidR="006A62CE" w:rsidRDefault="00000000">
      <w:r>
        <w:t>The causal certificate is independent of the pointer and record certificates. Common-pointer commutators and fragment-state diagnostics establish record behavior; the pulled-back witness establishes causal nonseparability.</w:t>
      </w:r>
    </w:p>
    <w:p w14:paraId="68F640E1" w14:textId="77777777" w:rsidR="006A62CE" w:rsidRDefault="00000000">
      <w:pPr>
        <w:pStyle w:val="Heading1"/>
      </w:pPr>
      <w:r>
        <w:t>IX. Four-qubit validation route</w:t>
      </w:r>
    </w:p>
    <w:p w14:paraId="4A23E4FC" w14:textId="77777777" w:rsidR="006A62CE" w:rsidRDefault="00000000">
      <w:r>
        <w:t>The minimal logical register is T,S,E₁,E₂, with global tensor ordering T⊗S⊗E₁⊗E₂. Exported physical-basis matrices use lexicographic computational-basis order |t,s,e₁,e₂⟩, with t the most significant bit. Fixed AB, fixed BA, coherent-order, dephased-control, and postselected-control arms test equal-prior neutrality, biased-prior activation, coherence loss under dephasing, and the separation between joint T+E₂ recovery and E₂-only records. The evidence is organized into three distinct computational layers.</w:t>
      </w:r>
    </w:p>
    <w:p w14:paraId="5E146AF1" w14:textId="77777777" w:rsidR="006A62CE" w:rsidRDefault="00000000">
      <w:r>
        <w:t>The record-writing gates used in the circuit validation are</w:t>
      </w:r>
    </w:p>
    <w:p w14:paraId="50577FC2" w14:textId="77777777" w:rsidR="006A62CE" w:rsidRDefault="00000000">
      <w:pPr>
        <w:pStyle w:val="Equation"/>
      </w:pPr>
      <w:r>
        <w:t>U_A(α_A)=|0⟩⟨0|_S⊗I_{E₁}+|1⟩⟨1|_S⊗R_y(α_A)_{E₁},                 (18)</w:t>
      </w:r>
    </w:p>
    <w:p w14:paraId="47CD1802" w14:textId="77777777" w:rsidR="006A62CE" w:rsidRDefault="00000000">
      <w:pPr>
        <w:pStyle w:val="Equation"/>
      </w:pPr>
      <w:r>
        <w:t>U_B(θ,α_B)=R_y(-θ)_S[|0⟩⟨0|_S⊗I_{E₂}+|1⟩⟨1|_S⊗R_y(α_B)_{E₂}]R_y(θ)_S.   (19)</w:t>
      </w:r>
    </w:p>
    <w:p w14:paraId="221ED919" w14:textId="77777777" w:rsidR="006A62CE" w:rsidRDefault="00000000">
      <w:r>
        <w:t>Identity operators on systems not displayed in Eqs. (18) and (19) are implicit. These definitions match the archived circuit construction used for the independent gate-level validation.</w:t>
      </w:r>
    </w:p>
    <w:p w14:paraId="147B5BCB" w14:textId="77777777" w:rsidR="006A62CE" w:rsidRDefault="00000000">
      <w:pPr>
        <w:jc w:val="center"/>
      </w:pPr>
      <w:r>
        <w:rPr>
          <w:noProof/>
        </w:rPr>
        <w:drawing>
          <wp:inline distT="0" distB="0" distL="0" distR="0" wp14:anchorId="3687D708" wp14:editId="14511AC9">
            <wp:extent cx="6035040" cy="2432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_qubit_validation_v2.png"/>
                    <pic:cNvPicPr/>
                  </pic:nvPicPr>
                  <pic:blipFill>
                    <a:blip r:embed="rId8"/>
                    <a:stretch>
                      <a:fillRect/>
                    </a:stretch>
                  </pic:blipFill>
                  <pic:spPr>
                    <a:xfrm>
                      <a:off x="0" y="0"/>
                      <a:ext cx="6035040" cy="2432639"/>
                    </a:xfrm>
                    <a:prstGeom prst="rect">
                      <a:avLst/>
                    </a:prstGeom>
                  </pic:spPr>
                </pic:pic>
              </a:graphicData>
            </a:graphic>
          </wp:inline>
        </w:drawing>
      </w:r>
    </w:p>
    <w:p w14:paraId="5B7D27B4" w14:textId="77777777" w:rsidR="006A62CE" w:rsidRDefault="00000000">
      <w:pPr>
        <w:jc w:val="center"/>
      </w:pPr>
      <w:r>
        <w:rPr>
          <w:b/>
          <w:sz w:val="18"/>
        </w:rPr>
        <w:t>Figure 1. Four-qubit circuit and access routes for coherent, dephased, discarded-control, and postselected comparisons. Table VI summarizes the accessible systems and target prediction for each arm.</w:t>
      </w:r>
    </w:p>
    <w:p w14:paraId="6B68FDA1" w14:textId="77777777" w:rsidR="006A62CE" w:rsidRDefault="00000000">
      <w:pPr>
        <w:pStyle w:val="Heading2"/>
      </w:pPr>
      <w:r>
        <w:lastRenderedPageBreak/>
        <w:t>A. Circuit-level statevector validation</w:t>
      </w:r>
    </w:p>
    <w:p w14:paraId="35D6F024" w14:textId="77777777" w:rsidR="006A62CE" w:rsidRDefault="00000000">
      <w:r>
        <w:t>The archived Qiskit implementation constructs U_A(α_A) as a controlled R_y record operation from S to E₁ and U_B(θ,α_B) by rotating S through θ, applying the controlled R_y record operation from S to E₂, and undoing the rotation. Fixed AB and BA circuits and the coherently controlled order act on T,S,E₁,E₂. The existing 51-point Qiskit statevector grid reports a maximum error of 3.33×10^-16 relative to Eq. (13) and a maximum coherent-minus-best-fixed discrepancy of 4.44×10^-16.</w:t>
      </w:r>
    </w:p>
    <w:p w14:paraId="11C7693A" w14:textId="77777777" w:rsidR="006A62CE" w:rsidRDefault="00000000">
      <w:r>
        <w:t>A new NumPy-only gate-level implementation independently constructs the same 16-dimensional circuit matrices, prepares both binary pointer labels, evolves all four qubits, explicitly traces to E₂ or T+E₂, and exports the physical-basis entries of Δ_AB, Δ_BA, and Δ_coh. Across 17 mismatch angles and three strength pairs, the maximum analytic-formula error and coherent-minus-best-fixed discrepancy are both 2.22×10^-16. The Version 5 gate-level calculation targets the equal-prior decision-neutrality theorem. The Holevo benchmark, many-fragment results, collision-noise surfaces, and local spectrum-broadcast diagnostics remain supported by their dedicated archived calculations rather than by this gate-level validation dataset.</w:t>
      </w:r>
    </w:p>
    <w:p w14:paraId="2A1C88E0" w14:textId="77777777" w:rsidR="006A62CE" w:rsidRDefault="00000000">
      <w:pPr>
        <w:pStyle w:val="Heading2"/>
      </w:pPr>
      <w:r>
        <w:t>B. Reduced-normal-form verification</w:t>
      </w:r>
    </w:p>
    <w:p w14:paraId="23BBB2B2" w14:textId="77777777" w:rsidR="006A62CE" w:rsidRDefault="00000000">
      <w:r>
        <w:t>The separate reduced-normal-form script begins from the certified parameter s=sin(α_B/2)cosθ and constructs valid conditional density matrices realizing diag(s,-s) and diag(s,-s,0,0). It verifies the eigenvalues, trace norms, and Helstrom formula on 51 settings. This calculation checks the consequences of the spectral theorem; it is not presented as an independent derivation of the four-qubit circuit spectrum.</w:t>
      </w:r>
    </w:p>
    <w:p w14:paraId="72C32EC7" w14:textId="77777777" w:rsidR="006A62CE" w:rsidRDefault="00000000">
      <w:pPr>
        <w:pStyle w:val="Heading2"/>
      </w:pPr>
      <w:r>
        <w:t>C. Finite-shot ideal sampling</w:t>
      </w:r>
    </w:p>
    <w:p w14:paraId="44E67982" w14:textId="77777777" w:rsidR="006A62CE" w:rsidRDefault="00000000">
      <w:r>
        <w:t>A finite-shot calculation samples the ideal projective probabilities at 99 settings with 8,192 shots per pointer label and fixed seed 20260812. The mean bias is 0.000200, the mean absolute error is 0.002458, and the maximum absolute error is 0.010897. To avoid the boundary undercoverage of the earlier plug-in bootstrap, Version 4 uses Bonferroni simultaneous Clopper-Pearson intervals for the two binomial probabilities and propagates those intervals through |p₀-p₁|. All 99 analytic targets lie inside the resulting intervals in this validation grid; this observed grid coverage is a diagnostic, not a universal coverage claim. The intervals are intentionally conservative, and 100% observed inclusion on this finite grid should not be interpreted as exact nominal calibration.</w:t>
      </w:r>
    </w:p>
    <w:p w14:paraId="58D05BBF" w14:textId="77777777" w:rsidR="006A62CE" w:rsidRDefault="00000000">
      <w:r>
        <w:t>The finite-shot study isolates ideal sampling fluctuations. It does not model gate error, decoherence, readout bias, crosstalk, compilation overhead, or calibration drift.</w:t>
      </w:r>
    </w:p>
    <w:p w14:paraId="4C5CA154" w14:textId="77777777" w:rsidR="006A62CE" w:rsidRDefault="00000000">
      <w:pPr>
        <w:pStyle w:val="Heading2"/>
      </w:pPr>
      <w:r>
        <w:t>D. Machine-readable artifacts</w:t>
      </w:r>
    </w:p>
    <w:p w14:paraId="18A5DF6C" w14:textId="77777777" w:rsidR="006A62CE" w:rsidRDefault="00000000">
      <w:r>
        <w:t>The Version 6 validation set includes the Version 5 machine-readable validation artifacts without changing the numerical claims: gate_level_validation_v4.py, v4_gate_level_validation.csv, v4_finite_shot_validation.csv, v4_interval_noncoverage.csv, v4_validation_summary.json, v4_checksums.sha256, and the validation figure. The gate-level CSV contains the physical-basis matrix entries, spectra, trace norms, and Helstrom values for all 51 circuit settings.</w:t>
      </w:r>
    </w:p>
    <w:p w14:paraId="2E78E5C9" w14:textId="77777777" w:rsidR="006A62CE" w:rsidRDefault="00000000">
      <w:pPr>
        <w:jc w:val="center"/>
      </w:pPr>
      <w:r>
        <w:rPr>
          <w:b/>
          <w:sz w:val="18"/>
        </w:rPr>
        <w:t>Table VII. Summary of numerical validation layers.</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28A43D0F" w14:textId="77777777">
        <w:trPr>
          <w:jc w:val="center"/>
        </w:trPr>
        <w:tc>
          <w:tcPr>
            <w:tcW w:w="2469" w:type="dxa"/>
            <w:shd w:val="clear" w:color="auto" w:fill="D9EAF7"/>
            <w:tcMar>
              <w:top w:w="90" w:type="dxa"/>
              <w:left w:w="90" w:type="dxa"/>
              <w:bottom w:w="90" w:type="dxa"/>
              <w:right w:w="90" w:type="dxa"/>
            </w:tcMar>
          </w:tcPr>
          <w:p w14:paraId="6F1428A8" w14:textId="77777777" w:rsidR="006A62CE" w:rsidRDefault="00000000">
            <w:r>
              <w:rPr>
                <w:b/>
                <w:sz w:val="16"/>
              </w:rPr>
              <w:t>Validation layer</w:t>
            </w:r>
          </w:p>
        </w:tc>
        <w:tc>
          <w:tcPr>
            <w:tcW w:w="2469" w:type="dxa"/>
            <w:shd w:val="clear" w:color="auto" w:fill="D9EAF7"/>
            <w:tcMar>
              <w:top w:w="90" w:type="dxa"/>
              <w:left w:w="90" w:type="dxa"/>
              <w:bottom w:w="90" w:type="dxa"/>
              <w:right w:w="90" w:type="dxa"/>
            </w:tcMar>
          </w:tcPr>
          <w:p w14:paraId="7368B0A9" w14:textId="77777777" w:rsidR="006A62CE" w:rsidRDefault="00000000">
            <w:r>
              <w:rPr>
                <w:b/>
                <w:sz w:val="16"/>
              </w:rPr>
              <w:t>Settings</w:t>
            </w:r>
          </w:p>
        </w:tc>
        <w:tc>
          <w:tcPr>
            <w:tcW w:w="2469" w:type="dxa"/>
            <w:shd w:val="clear" w:color="auto" w:fill="D9EAF7"/>
            <w:tcMar>
              <w:top w:w="90" w:type="dxa"/>
              <w:left w:w="90" w:type="dxa"/>
              <w:bottom w:w="90" w:type="dxa"/>
              <w:right w:w="90" w:type="dxa"/>
            </w:tcMar>
          </w:tcPr>
          <w:p w14:paraId="124E3883" w14:textId="77777777" w:rsidR="006A62CE" w:rsidRDefault="00000000">
            <w:r>
              <w:rPr>
                <w:b/>
                <w:sz w:val="16"/>
              </w:rPr>
              <w:t>Primary quantity</w:t>
            </w:r>
          </w:p>
        </w:tc>
        <w:tc>
          <w:tcPr>
            <w:tcW w:w="2469" w:type="dxa"/>
            <w:shd w:val="clear" w:color="auto" w:fill="D9EAF7"/>
            <w:tcMar>
              <w:top w:w="90" w:type="dxa"/>
              <w:left w:w="90" w:type="dxa"/>
              <w:bottom w:w="90" w:type="dxa"/>
              <w:right w:w="90" w:type="dxa"/>
            </w:tcMar>
          </w:tcPr>
          <w:p w14:paraId="5DDAA978" w14:textId="77777777" w:rsidR="006A62CE" w:rsidRDefault="00000000">
            <w:r>
              <w:rPr>
                <w:b/>
                <w:sz w:val="16"/>
              </w:rPr>
              <w:t>Maximum discrepancy / error</w:t>
            </w:r>
          </w:p>
        </w:tc>
      </w:tr>
      <w:tr w:rsidR="006A62CE" w14:paraId="64BCB77D" w14:textId="77777777">
        <w:trPr>
          <w:jc w:val="center"/>
        </w:trPr>
        <w:tc>
          <w:tcPr>
            <w:tcW w:w="2469" w:type="dxa"/>
            <w:tcMar>
              <w:top w:w="90" w:type="dxa"/>
              <w:left w:w="90" w:type="dxa"/>
              <w:bottom w:w="90" w:type="dxa"/>
              <w:right w:w="90" w:type="dxa"/>
            </w:tcMar>
          </w:tcPr>
          <w:p w14:paraId="3FC72178" w14:textId="77777777" w:rsidR="006A62CE" w:rsidRDefault="00000000">
            <w:pPr>
              <w:spacing w:after="0"/>
            </w:pPr>
            <w:r>
              <w:rPr>
                <w:sz w:val="16"/>
              </w:rPr>
              <w:t>Qiskit statevector</w:t>
            </w:r>
          </w:p>
        </w:tc>
        <w:tc>
          <w:tcPr>
            <w:tcW w:w="2469" w:type="dxa"/>
            <w:tcMar>
              <w:top w:w="90" w:type="dxa"/>
              <w:left w:w="90" w:type="dxa"/>
              <w:bottom w:w="90" w:type="dxa"/>
              <w:right w:w="90" w:type="dxa"/>
            </w:tcMar>
          </w:tcPr>
          <w:p w14:paraId="555BDB33" w14:textId="77777777" w:rsidR="006A62CE" w:rsidRDefault="00000000">
            <w:pPr>
              <w:spacing w:after="0"/>
            </w:pPr>
            <w:r>
              <w:rPr>
                <w:sz w:val="16"/>
              </w:rPr>
              <w:t>51</w:t>
            </w:r>
          </w:p>
        </w:tc>
        <w:tc>
          <w:tcPr>
            <w:tcW w:w="2469" w:type="dxa"/>
            <w:tcMar>
              <w:top w:w="90" w:type="dxa"/>
              <w:left w:w="90" w:type="dxa"/>
              <w:bottom w:w="90" w:type="dxa"/>
              <w:right w:w="90" w:type="dxa"/>
            </w:tcMar>
          </w:tcPr>
          <w:p w14:paraId="3FF50EDE" w14:textId="77777777" w:rsidR="006A62CE" w:rsidRDefault="00000000">
            <w:pPr>
              <w:spacing w:after="0"/>
            </w:pPr>
            <w:r>
              <w:rPr>
                <w:sz w:val="16"/>
              </w:rPr>
              <w:t>Helstrom formula</w:t>
            </w:r>
          </w:p>
        </w:tc>
        <w:tc>
          <w:tcPr>
            <w:tcW w:w="2469" w:type="dxa"/>
            <w:tcMar>
              <w:top w:w="90" w:type="dxa"/>
              <w:left w:w="90" w:type="dxa"/>
              <w:bottom w:w="90" w:type="dxa"/>
              <w:right w:w="90" w:type="dxa"/>
            </w:tcMar>
          </w:tcPr>
          <w:p w14:paraId="37481E3C" w14:textId="77777777" w:rsidR="006A62CE" w:rsidRDefault="00000000">
            <w:pPr>
              <w:spacing w:after="0"/>
            </w:pPr>
            <w:r>
              <w:rPr>
                <w:sz w:val="16"/>
              </w:rPr>
              <w:t>3.33×10^-16</w:t>
            </w:r>
          </w:p>
        </w:tc>
      </w:tr>
      <w:tr w:rsidR="006A62CE" w14:paraId="5263CA94" w14:textId="77777777">
        <w:trPr>
          <w:jc w:val="center"/>
        </w:trPr>
        <w:tc>
          <w:tcPr>
            <w:tcW w:w="2469" w:type="dxa"/>
            <w:tcMar>
              <w:top w:w="90" w:type="dxa"/>
              <w:left w:w="90" w:type="dxa"/>
              <w:bottom w:w="90" w:type="dxa"/>
              <w:right w:w="90" w:type="dxa"/>
            </w:tcMar>
          </w:tcPr>
          <w:p w14:paraId="36D8327E" w14:textId="77777777" w:rsidR="006A62CE" w:rsidRDefault="00000000">
            <w:pPr>
              <w:spacing w:after="0"/>
            </w:pPr>
            <w:r>
              <w:rPr>
                <w:sz w:val="16"/>
              </w:rPr>
              <w:t>NumPy gate level</w:t>
            </w:r>
          </w:p>
        </w:tc>
        <w:tc>
          <w:tcPr>
            <w:tcW w:w="2469" w:type="dxa"/>
            <w:tcMar>
              <w:top w:w="90" w:type="dxa"/>
              <w:left w:w="90" w:type="dxa"/>
              <w:bottom w:w="90" w:type="dxa"/>
              <w:right w:w="90" w:type="dxa"/>
            </w:tcMar>
          </w:tcPr>
          <w:p w14:paraId="1F15DDD2" w14:textId="77777777" w:rsidR="006A62CE" w:rsidRDefault="00000000">
            <w:pPr>
              <w:spacing w:after="0"/>
            </w:pPr>
            <w:r>
              <w:rPr>
                <w:sz w:val="16"/>
              </w:rPr>
              <w:t>51</w:t>
            </w:r>
          </w:p>
        </w:tc>
        <w:tc>
          <w:tcPr>
            <w:tcW w:w="2469" w:type="dxa"/>
            <w:tcMar>
              <w:top w:w="90" w:type="dxa"/>
              <w:left w:w="90" w:type="dxa"/>
              <w:bottom w:w="90" w:type="dxa"/>
              <w:right w:w="90" w:type="dxa"/>
            </w:tcMar>
          </w:tcPr>
          <w:p w14:paraId="24EB9729" w14:textId="77777777" w:rsidR="006A62CE" w:rsidRDefault="00000000">
            <w:pPr>
              <w:spacing w:after="0"/>
            </w:pPr>
            <w:r>
              <w:rPr>
                <w:sz w:val="16"/>
              </w:rPr>
              <w:t>Helstrom formula and physical-basis matrices</w:t>
            </w:r>
          </w:p>
        </w:tc>
        <w:tc>
          <w:tcPr>
            <w:tcW w:w="2469" w:type="dxa"/>
            <w:tcMar>
              <w:top w:w="90" w:type="dxa"/>
              <w:left w:w="90" w:type="dxa"/>
              <w:bottom w:w="90" w:type="dxa"/>
              <w:right w:w="90" w:type="dxa"/>
            </w:tcMar>
          </w:tcPr>
          <w:p w14:paraId="7D12B983" w14:textId="77777777" w:rsidR="006A62CE" w:rsidRDefault="00000000">
            <w:pPr>
              <w:spacing w:after="0"/>
            </w:pPr>
            <w:r>
              <w:rPr>
                <w:sz w:val="16"/>
              </w:rPr>
              <w:t>2.22×10^-16</w:t>
            </w:r>
          </w:p>
        </w:tc>
      </w:tr>
      <w:tr w:rsidR="006A62CE" w14:paraId="65644930" w14:textId="77777777">
        <w:trPr>
          <w:jc w:val="center"/>
        </w:trPr>
        <w:tc>
          <w:tcPr>
            <w:tcW w:w="2469" w:type="dxa"/>
            <w:tcMar>
              <w:top w:w="90" w:type="dxa"/>
              <w:left w:w="90" w:type="dxa"/>
              <w:bottom w:w="90" w:type="dxa"/>
              <w:right w:w="90" w:type="dxa"/>
            </w:tcMar>
          </w:tcPr>
          <w:p w14:paraId="595F707F" w14:textId="77777777" w:rsidR="006A62CE" w:rsidRDefault="00000000">
            <w:pPr>
              <w:spacing w:after="0"/>
            </w:pPr>
            <w:r>
              <w:rPr>
                <w:sz w:val="16"/>
              </w:rPr>
              <w:t>Reduced normal form</w:t>
            </w:r>
          </w:p>
        </w:tc>
        <w:tc>
          <w:tcPr>
            <w:tcW w:w="2469" w:type="dxa"/>
            <w:tcMar>
              <w:top w:w="90" w:type="dxa"/>
              <w:left w:w="90" w:type="dxa"/>
              <w:bottom w:w="90" w:type="dxa"/>
              <w:right w:w="90" w:type="dxa"/>
            </w:tcMar>
          </w:tcPr>
          <w:p w14:paraId="3D6BA515" w14:textId="77777777" w:rsidR="006A62CE" w:rsidRDefault="00000000">
            <w:pPr>
              <w:spacing w:after="0"/>
            </w:pPr>
            <w:r>
              <w:rPr>
                <w:sz w:val="16"/>
              </w:rPr>
              <w:t>51</w:t>
            </w:r>
          </w:p>
        </w:tc>
        <w:tc>
          <w:tcPr>
            <w:tcW w:w="2469" w:type="dxa"/>
            <w:tcMar>
              <w:top w:w="90" w:type="dxa"/>
              <w:left w:w="90" w:type="dxa"/>
              <w:bottom w:w="90" w:type="dxa"/>
              <w:right w:w="90" w:type="dxa"/>
            </w:tcMar>
          </w:tcPr>
          <w:p w14:paraId="65A8F483" w14:textId="77777777" w:rsidR="006A62CE" w:rsidRDefault="00000000">
            <w:pPr>
              <w:spacing w:after="0"/>
            </w:pPr>
            <w:r>
              <w:rPr>
                <w:sz w:val="16"/>
              </w:rPr>
              <w:t>Spectral consequence</w:t>
            </w:r>
          </w:p>
        </w:tc>
        <w:tc>
          <w:tcPr>
            <w:tcW w:w="2469" w:type="dxa"/>
            <w:tcMar>
              <w:top w:w="90" w:type="dxa"/>
              <w:left w:w="90" w:type="dxa"/>
              <w:bottom w:w="90" w:type="dxa"/>
              <w:right w:w="90" w:type="dxa"/>
            </w:tcMar>
          </w:tcPr>
          <w:p w14:paraId="1DB93649" w14:textId="77777777" w:rsidR="006A62CE" w:rsidRDefault="00000000">
            <w:pPr>
              <w:spacing w:after="0"/>
            </w:pPr>
            <w:r>
              <w:rPr>
                <w:sz w:val="16"/>
              </w:rPr>
              <w:t>0 in stored double precision</w:t>
            </w:r>
          </w:p>
        </w:tc>
      </w:tr>
      <w:tr w:rsidR="006A62CE" w14:paraId="1C4F691A" w14:textId="77777777">
        <w:trPr>
          <w:jc w:val="center"/>
        </w:trPr>
        <w:tc>
          <w:tcPr>
            <w:tcW w:w="2469" w:type="dxa"/>
            <w:tcMar>
              <w:top w:w="90" w:type="dxa"/>
              <w:left w:w="90" w:type="dxa"/>
              <w:bottom w:w="90" w:type="dxa"/>
              <w:right w:w="90" w:type="dxa"/>
            </w:tcMar>
          </w:tcPr>
          <w:p w14:paraId="535898E4" w14:textId="77777777" w:rsidR="006A62CE" w:rsidRDefault="00000000">
            <w:pPr>
              <w:spacing w:after="0"/>
            </w:pPr>
            <w:r>
              <w:rPr>
                <w:sz w:val="16"/>
              </w:rPr>
              <w:t>Finite-shot ideal sampling</w:t>
            </w:r>
          </w:p>
        </w:tc>
        <w:tc>
          <w:tcPr>
            <w:tcW w:w="2469" w:type="dxa"/>
            <w:tcMar>
              <w:top w:w="90" w:type="dxa"/>
              <w:left w:w="90" w:type="dxa"/>
              <w:bottom w:w="90" w:type="dxa"/>
              <w:right w:w="90" w:type="dxa"/>
            </w:tcMar>
          </w:tcPr>
          <w:p w14:paraId="08EE5699" w14:textId="77777777" w:rsidR="006A62CE" w:rsidRDefault="00000000">
            <w:pPr>
              <w:spacing w:after="0"/>
            </w:pPr>
            <w:r>
              <w:rPr>
                <w:sz w:val="16"/>
              </w:rPr>
              <w:t>99</w:t>
            </w:r>
          </w:p>
        </w:tc>
        <w:tc>
          <w:tcPr>
            <w:tcW w:w="2469" w:type="dxa"/>
            <w:tcMar>
              <w:top w:w="90" w:type="dxa"/>
              <w:left w:w="90" w:type="dxa"/>
              <w:bottom w:w="90" w:type="dxa"/>
              <w:right w:w="90" w:type="dxa"/>
            </w:tcMar>
          </w:tcPr>
          <w:p w14:paraId="3A7CD10C" w14:textId="77777777" w:rsidR="006A62CE" w:rsidRDefault="00000000">
            <w:pPr>
              <w:spacing w:after="0"/>
            </w:pPr>
            <w:r>
              <w:rPr>
                <w:sz w:val="16"/>
              </w:rPr>
              <w:t>Helstrom estimate</w:t>
            </w:r>
          </w:p>
        </w:tc>
        <w:tc>
          <w:tcPr>
            <w:tcW w:w="2469" w:type="dxa"/>
            <w:tcMar>
              <w:top w:w="90" w:type="dxa"/>
              <w:left w:w="90" w:type="dxa"/>
              <w:bottom w:w="90" w:type="dxa"/>
              <w:right w:w="90" w:type="dxa"/>
            </w:tcMar>
          </w:tcPr>
          <w:p w14:paraId="616C8C4E" w14:textId="77777777" w:rsidR="006A62CE" w:rsidRDefault="00000000">
            <w:pPr>
              <w:spacing w:after="0"/>
            </w:pPr>
            <w:r>
              <w:rPr>
                <w:sz w:val="16"/>
              </w:rPr>
              <w:t>0.010897 maximum absolute error</w:t>
            </w:r>
          </w:p>
        </w:tc>
      </w:tr>
    </w:tbl>
    <w:p w14:paraId="2D7FB8FA" w14:textId="77777777" w:rsidR="006A62CE" w:rsidRDefault="00000000">
      <w:pPr>
        <w:jc w:val="center"/>
      </w:pPr>
      <w:r>
        <w:rPr>
          <w:noProof/>
        </w:rPr>
        <w:lastRenderedPageBreak/>
        <w:drawing>
          <wp:inline distT="0" distB="0" distL="0" distR="0" wp14:anchorId="067D5270" wp14:editId="10D035C2">
            <wp:extent cx="6035040" cy="2284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lassical_validation.png"/>
                    <pic:cNvPicPr/>
                  </pic:nvPicPr>
                  <pic:blipFill>
                    <a:blip r:embed="rId9"/>
                    <a:stretch>
                      <a:fillRect/>
                    </a:stretch>
                  </pic:blipFill>
                  <pic:spPr>
                    <a:xfrm>
                      <a:off x="0" y="0"/>
                      <a:ext cx="6035040" cy="2284836"/>
                    </a:xfrm>
                    <a:prstGeom prst="rect">
                      <a:avLst/>
                    </a:prstGeom>
                  </pic:spPr>
                </pic:pic>
              </a:graphicData>
            </a:graphic>
          </wp:inline>
        </w:drawing>
      </w:r>
    </w:p>
    <w:p w14:paraId="17E820F2" w14:textId="77777777" w:rsidR="006A62CE" w:rsidRDefault="00000000">
      <w:pPr>
        <w:jc w:val="center"/>
      </w:pPr>
      <w:r>
        <w:t>Figure 2. Gate-level and finite-shot validation. Curves show the analytic prediction; representative error bars are simultaneous Clopper-Pearson intervals. The right panel displays finite-shot bias across 99 ideal-sampling settings. Each setting uses 8,192 shots per pointer label. The vertical guide marks θ=π/2, where the analytic contrast vanishes. Table VII compares all four numerical-validation layers.</w:t>
      </w:r>
    </w:p>
    <w:p w14:paraId="3F449A63" w14:textId="77777777" w:rsidR="006A62CE" w:rsidRDefault="00000000">
      <w:pPr>
        <w:jc w:val="center"/>
      </w:pPr>
      <w:r>
        <w:rPr>
          <w:b/>
          <w:sz w:val="18"/>
        </w:rPr>
        <w:t>Table VI. Validation arms, accessible systems, and target predictions.</w:t>
      </w:r>
    </w:p>
    <w:tbl>
      <w:tblPr>
        <w:tblStyle w:val="TableGrid"/>
        <w:tblW w:w="0" w:type="auto"/>
        <w:jc w:val="center"/>
        <w:tblLook w:val="04A0" w:firstRow="1" w:lastRow="0" w:firstColumn="1" w:lastColumn="0" w:noHBand="0" w:noVBand="1"/>
      </w:tblPr>
      <w:tblGrid>
        <w:gridCol w:w="3293"/>
        <w:gridCol w:w="3293"/>
        <w:gridCol w:w="3293"/>
      </w:tblGrid>
      <w:tr w:rsidR="006A62CE" w14:paraId="67DECA19" w14:textId="77777777">
        <w:trPr>
          <w:jc w:val="center"/>
        </w:trPr>
        <w:tc>
          <w:tcPr>
            <w:tcW w:w="3293" w:type="dxa"/>
            <w:shd w:val="clear" w:color="auto" w:fill="D9EAF7"/>
            <w:tcMar>
              <w:top w:w="90" w:type="dxa"/>
              <w:left w:w="90" w:type="dxa"/>
              <w:bottom w:w="90" w:type="dxa"/>
              <w:right w:w="90" w:type="dxa"/>
            </w:tcMar>
            <w:vAlign w:val="center"/>
          </w:tcPr>
          <w:p w14:paraId="45E3A3D4" w14:textId="77777777" w:rsidR="006A62CE" w:rsidRDefault="00000000">
            <w:r>
              <w:rPr>
                <w:rFonts w:ascii="Arial" w:hAnsi="Arial"/>
                <w:b/>
                <w:sz w:val="17"/>
              </w:rPr>
              <w:t>Arm</w:t>
            </w:r>
          </w:p>
        </w:tc>
        <w:tc>
          <w:tcPr>
            <w:tcW w:w="3293" w:type="dxa"/>
            <w:shd w:val="clear" w:color="auto" w:fill="D9EAF7"/>
            <w:tcMar>
              <w:top w:w="90" w:type="dxa"/>
              <w:left w:w="90" w:type="dxa"/>
              <w:bottom w:w="90" w:type="dxa"/>
              <w:right w:w="90" w:type="dxa"/>
            </w:tcMar>
            <w:vAlign w:val="center"/>
          </w:tcPr>
          <w:p w14:paraId="4910CA04" w14:textId="77777777" w:rsidR="006A62CE" w:rsidRDefault="00000000">
            <w:r>
              <w:rPr>
                <w:rFonts w:ascii="Arial" w:hAnsi="Arial"/>
                <w:b/>
                <w:sz w:val="17"/>
              </w:rPr>
              <w:t>Accessible systems</w:t>
            </w:r>
          </w:p>
        </w:tc>
        <w:tc>
          <w:tcPr>
            <w:tcW w:w="3293" w:type="dxa"/>
            <w:shd w:val="clear" w:color="auto" w:fill="D9EAF7"/>
            <w:tcMar>
              <w:top w:w="90" w:type="dxa"/>
              <w:left w:w="90" w:type="dxa"/>
              <w:bottom w:w="90" w:type="dxa"/>
              <w:right w:w="90" w:type="dxa"/>
            </w:tcMar>
            <w:vAlign w:val="center"/>
          </w:tcPr>
          <w:p w14:paraId="2422D8AA" w14:textId="77777777" w:rsidR="006A62CE" w:rsidRDefault="00000000">
            <w:r>
              <w:rPr>
                <w:rFonts w:ascii="Arial" w:hAnsi="Arial"/>
                <w:b/>
                <w:sz w:val="17"/>
              </w:rPr>
              <w:t>Primary test</w:t>
            </w:r>
          </w:p>
        </w:tc>
      </w:tr>
      <w:tr w:rsidR="006A62CE" w14:paraId="2432423B" w14:textId="77777777">
        <w:trPr>
          <w:jc w:val="center"/>
        </w:trPr>
        <w:tc>
          <w:tcPr>
            <w:tcW w:w="3293" w:type="dxa"/>
            <w:tcMar>
              <w:top w:w="90" w:type="dxa"/>
              <w:left w:w="90" w:type="dxa"/>
              <w:bottom w:w="90" w:type="dxa"/>
              <w:right w:w="90" w:type="dxa"/>
            </w:tcMar>
            <w:vAlign w:val="center"/>
          </w:tcPr>
          <w:p w14:paraId="68FC00D7" w14:textId="77777777" w:rsidR="006A62CE" w:rsidRDefault="00000000">
            <w:pPr>
              <w:spacing w:after="0"/>
            </w:pPr>
            <w:r>
              <w:rPr>
                <w:sz w:val="16"/>
              </w:rPr>
              <w:t>Fixed AB / BA</w:t>
            </w:r>
          </w:p>
        </w:tc>
        <w:tc>
          <w:tcPr>
            <w:tcW w:w="3293" w:type="dxa"/>
            <w:tcMar>
              <w:top w:w="90" w:type="dxa"/>
              <w:left w:w="90" w:type="dxa"/>
              <w:bottom w:w="90" w:type="dxa"/>
              <w:right w:w="90" w:type="dxa"/>
            </w:tcMar>
            <w:vAlign w:val="center"/>
          </w:tcPr>
          <w:p w14:paraId="26B91731" w14:textId="77777777" w:rsidR="006A62CE" w:rsidRDefault="00000000">
            <w:pPr>
              <w:spacing w:after="0"/>
            </w:pPr>
            <w:r>
              <w:rPr>
                <w:sz w:val="16"/>
              </w:rPr>
              <w:t>E₂ or declared fragment</w:t>
            </w:r>
          </w:p>
        </w:tc>
        <w:tc>
          <w:tcPr>
            <w:tcW w:w="3293" w:type="dxa"/>
            <w:tcMar>
              <w:top w:w="90" w:type="dxa"/>
              <w:left w:w="90" w:type="dxa"/>
              <w:bottom w:w="90" w:type="dxa"/>
              <w:right w:w="90" w:type="dxa"/>
            </w:tcMar>
            <w:vAlign w:val="center"/>
          </w:tcPr>
          <w:p w14:paraId="25BB7989" w14:textId="77777777" w:rsidR="006A62CE" w:rsidRDefault="00000000">
            <w:pPr>
              <w:spacing w:after="0"/>
            </w:pPr>
            <w:r>
              <w:rPr>
                <w:sz w:val="16"/>
              </w:rPr>
              <w:t>Matched fixed-order baseline</w:t>
            </w:r>
          </w:p>
        </w:tc>
      </w:tr>
      <w:tr w:rsidR="006A62CE" w14:paraId="24E0F3B1" w14:textId="77777777">
        <w:trPr>
          <w:jc w:val="center"/>
        </w:trPr>
        <w:tc>
          <w:tcPr>
            <w:tcW w:w="3293" w:type="dxa"/>
            <w:tcMar>
              <w:top w:w="90" w:type="dxa"/>
              <w:left w:w="90" w:type="dxa"/>
              <w:bottom w:w="90" w:type="dxa"/>
              <w:right w:w="90" w:type="dxa"/>
            </w:tcMar>
            <w:vAlign w:val="center"/>
          </w:tcPr>
          <w:p w14:paraId="37239385" w14:textId="77777777" w:rsidR="006A62CE" w:rsidRDefault="00000000">
            <w:pPr>
              <w:spacing w:after="0"/>
            </w:pPr>
            <w:r>
              <w:rPr>
                <w:sz w:val="16"/>
              </w:rPr>
              <w:t>Coherent control</w:t>
            </w:r>
          </w:p>
        </w:tc>
        <w:tc>
          <w:tcPr>
            <w:tcW w:w="3293" w:type="dxa"/>
            <w:tcMar>
              <w:top w:w="90" w:type="dxa"/>
              <w:left w:w="90" w:type="dxa"/>
              <w:bottom w:w="90" w:type="dxa"/>
              <w:right w:w="90" w:type="dxa"/>
            </w:tcMar>
            <w:vAlign w:val="center"/>
          </w:tcPr>
          <w:p w14:paraId="6ADF3718" w14:textId="77777777" w:rsidR="006A62CE" w:rsidRDefault="00000000">
            <w:pPr>
              <w:spacing w:after="0"/>
            </w:pPr>
            <w:r>
              <w:rPr>
                <w:sz w:val="16"/>
              </w:rPr>
              <w:t>T+E₂</w:t>
            </w:r>
          </w:p>
        </w:tc>
        <w:tc>
          <w:tcPr>
            <w:tcW w:w="3293" w:type="dxa"/>
            <w:tcMar>
              <w:top w:w="90" w:type="dxa"/>
              <w:left w:w="90" w:type="dxa"/>
              <w:bottom w:w="90" w:type="dxa"/>
              <w:right w:w="90" w:type="dxa"/>
            </w:tcMar>
            <w:vAlign w:val="center"/>
          </w:tcPr>
          <w:p w14:paraId="1051957F" w14:textId="77777777" w:rsidR="006A62CE" w:rsidRDefault="00000000">
            <w:pPr>
              <w:spacing w:after="0"/>
            </w:pPr>
            <w:r>
              <w:rPr>
                <w:sz w:val="16"/>
              </w:rPr>
              <w:t>Joint-access Holevo contribution and Helstrom neutrality</w:t>
            </w:r>
          </w:p>
        </w:tc>
      </w:tr>
      <w:tr w:rsidR="006A62CE" w14:paraId="484EB386" w14:textId="77777777">
        <w:trPr>
          <w:jc w:val="center"/>
        </w:trPr>
        <w:tc>
          <w:tcPr>
            <w:tcW w:w="3293" w:type="dxa"/>
            <w:tcMar>
              <w:top w:w="90" w:type="dxa"/>
              <w:left w:w="90" w:type="dxa"/>
              <w:bottom w:w="90" w:type="dxa"/>
              <w:right w:w="90" w:type="dxa"/>
            </w:tcMar>
            <w:vAlign w:val="center"/>
          </w:tcPr>
          <w:p w14:paraId="64F19CDF" w14:textId="77777777" w:rsidR="006A62CE" w:rsidRDefault="00000000">
            <w:pPr>
              <w:spacing w:after="0"/>
            </w:pPr>
            <w:r>
              <w:rPr>
                <w:sz w:val="16"/>
              </w:rPr>
              <w:t>Dephased control</w:t>
            </w:r>
          </w:p>
        </w:tc>
        <w:tc>
          <w:tcPr>
            <w:tcW w:w="3293" w:type="dxa"/>
            <w:tcMar>
              <w:top w:w="90" w:type="dxa"/>
              <w:left w:w="90" w:type="dxa"/>
              <w:bottom w:w="90" w:type="dxa"/>
              <w:right w:w="90" w:type="dxa"/>
            </w:tcMar>
            <w:vAlign w:val="center"/>
          </w:tcPr>
          <w:p w14:paraId="241C1378" w14:textId="77777777" w:rsidR="006A62CE" w:rsidRDefault="00000000">
            <w:pPr>
              <w:spacing w:after="0"/>
            </w:pPr>
            <w:r>
              <w:rPr>
                <w:sz w:val="16"/>
              </w:rPr>
              <w:t>T+E₂ after D_T</w:t>
            </w:r>
          </w:p>
        </w:tc>
        <w:tc>
          <w:tcPr>
            <w:tcW w:w="3293" w:type="dxa"/>
            <w:tcMar>
              <w:top w:w="90" w:type="dxa"/>
              <w:left w:w="90" w:type="dxa"/>
              <w:bottom w:w="90" w:type="dxa"/>
              <w:right w:w="90" w:type="dxa"/>
            </w:tcMar>
            <w:vAlign w:val="center"/>
          </w:tcPr>
          <w:p w14:paraId="6423B11E" w14:textId="77777777" w:rsidR="006A62CE" w:rsidRDefault="00000000">
            <w:pPr>
              <w:spacing w:after="0"/>
            </w:pPr>
            <w:r>
              <w:rPr>
                <w:sz w:val="16"/>
              </w:rPr>
              <w:t>Removal of coherence-sensitive term</w:t>
            </w:r>
          </w:p>
        </w:tc>
      </w:tr>
      <w:tr w:rsidR="006A62CE" w14:paraId="5EF374E4" w14:textId="77777777">
        <w:trPr>
          <w:jc w:val="center"/>
        </w:trPr>
        <w:tc>
          <w:tcPr>
            <w:tcW w:w="3293" w:type="dxa"/>
            <w:tcMar>
              <w:top w:w="90" w:type="dxa"/>
              <w:left w:w="90" w:type="dxa"/>
              <w:bottom w:w="90" w:type="dxa"/>
              <w:right w:w="90" w:type="dxa"/>
            </w:tcMar>
            <w:vAlign w:val="center"/>
          </w:tcPr>
          <w:p w14:paraId="0E49FD8A" w14:textId="77777777" w:rsidR="006A62CE" w:rsidRDefault="00000000">
            <w:pPr>
              <w:spacing w:after="0"/>
            </w:pPr>
            <w:r>
              <w:rPr>
                <w:sz w:val="16"/>
              </w:rPr>
              <w:t>Control discarded</w:t>
            </w:r>
          </w:p>
        </w:tc>
        <w:tc>
          <w:tcPr>
            <w:tcW w:w="3293" w:type="dxa"/>
            <w:tcMar>
              <w:top w:w="90" w:type="dxa"/>
              <w:left w:w="90" w:type="dxa"/>
              <w:bottom w:w="90" w:type="dxa"/>
              <w:right w:w="90" w:type="dxa"/>
            </w:tcMar>
            <w:vAlign w:val="center"/>
          </w:tcPr>
          <w:p w14:paraId="47905326" w14:textId="77777777" w:rsidR="006A62CE" w:rsidRDefault="00000000">
            <w:pPr>
              <w:spacing w:after="0"/>
            </w:pPr>
            <w:r>
              <w:rPr>
                <w:sz w:val="16"/>
              </w:rPr>
              <w:t>E₂ only</w:t>
            </w:r>
          </w:p>
        </w:tc>
        <w:tc>
          <w:tcPr>
            <w:tcW w:w="3293" w:type="dxa"/>
            <w:tcMar>
              <w:top w:w="90" w:type="dxa"/>
              <w:left w:w="90" w:type="dxa"/>
              <w:bottom w:w="90" w:type="dxa"/>
              <w:right w:w="90" w:type="dxa"/>
            </w:tcMar>
            <w:vAlign w:val="center"/>
          </w:tcPr>
          <w:p w14:paraId="06D2C59B" w14:textId="77777777" w:rsidR="006A62CE" w:rsidRDefault="00000000">
            <w:pPr>
              <w:spacing w:after="0"/>
            </w:pPr>
            <w:r>
              <w:rPr>
                <w:sz w:val="16"/>
              </w:rPr>
              <w:t>Environment-only comparison</w:t>
            </w:r>
          </w:p>
        </w:tc>
      </w:tr>
      <w:tr w:rsidR="006A62CE" w14:paraId="47D2A317" w14:textId="77777777">
        <w:trPr>
          <w:jc w:val="center"/>
        </w:trPr>
        <w:tc>
          <w:tcPr>
            <w:tcW w:w="3293" w:type="dxa"/>
            <w:tcMar>
              <w:top w:w="90" w:type="dxa"/>
              <w:left w:w="90" w:type="dxa"/>
              <w:bottom w:w="90" w:type="dxa"/>
              <w:right w:w="90" w:type="dxa"/>
            </w:tcMar>
            <w:vAlign w:val="center"/>
          </w:tcPr>
          <w:p w14:paraId="3CD847C3" w14:textId="77777777" w:rsidR="006A62CE" w:rsidRDefault="00000000">
            <w:pPr>
              <w:spacing w:after="0"/>
            </w:pPr>
            <w:r>
              <w:rPr>
                <w:sz w:val="16"/>
              </w:rPr>
              <w:t>Postselected control</w:t>
            </w:r>
          </w:p>
        </w:tc>
        <w:tc>
          <w:tcPr>
            <w:tcW w:w="3293" w:type="dxa"/>
            <w:tcMar>
              <w:top w:w="90" w:type="dxa"/>
              <w:left w:w="90" w:type="dxa"/>
              <w:bottom w:w="90" w:type="dxa"/>
              <w:right w:w="90" w:type="dxa"/>
            </w:tcMar>
            <w:vAlign w:val="center"/>
          </w:tcPr>
          <w:p w14:paraId="5045E41F" w14:textId="77777777" w:rsidR="006A62CE" w:rsidRDefault="00000000">
            <w:pPr>
              <w:spacing w:after="0"/>
            </w:pPr>
            <w:r>
              <w:rPr>
                <w:sz w:val="16"/>
              </w:rPr>
              <w:t>Outcome Y and E₂</w:t>
            </w:r>
          </w:p>
        </w:tc>
        <w:tc>
          <w:tcPr>
            <w:tcW w:w="3293" w:type="dxa"/>
            <w:tcMar>
              <w:top w:w="90" w:type="dxa"/>
              <w:left w:w="90" w:type="dxa"/>
              <w:bottom w:w="90" w:type="dxa"/>
              <w:right w:w="90" w:type="dxa"/>
            </w:tcMar>
            <w:vAlign w:val="center"/>
          </w:tcPr>
          <w:p w14:paraId="244D62C3" w14:textId="77777777" w:rsidR="006A62CE" w:rsidRDefault="00000000">
            <w:pPr>
              <w:spacing w:after="0"/>
            </w:pPr>
            <w:r>
              <w:rPr>
                <w:sz w:val="16"/>
              </w:rPr>
              <w:t>Probability-weighted information budget</w:t>
            </w:r>
          </w:p>
        </w:tc>
      </w:tr>
    </w:tbl>
    <w:p w14:paraId="76C7716F" w14:textId="77777777" w:rsidR="006A62CE" w:rsidRDefault="006A62CE">
      <w:pPr>
        <w:spacing w:after="20"/>
      </w:pPr>
    </w:p>
    <w:p w14:paraId="5C57A57C" w14:textId="77777777" w:rsidR="006A62CE" w:rsidRDefault="00000000">
      <w:pPr>
        <w:pStyle w:val="Heading1"/>
      </w:pPr>
      <w:r>
        <w:t>X. Scope and limitations</w:t>
      </w:r>
    </w:p>
    <w:p w14:paraId="2974711F" w14:textId="77777777" w:rsidR="006A62CE" w:rsidRDefault="00000000">
      <w:pPr>
        <w:pStyle w:val="ListBullet"/>
      </w:pPr>
      <w:r>
        <w:t>The matched-family Holevo advantage is not claimed against the full causally separable process cone; the comparator hierarchy is stated explicitly in Sec. VII.A.</w:t>
      </w:r>
    </w:p>
    <w:p w14:paraId="73247B64" w14:textId="77777777" w:rsidR="006A62CE" w:rsidRDefault="00000000">
      <w:pPr>
        <w:pStyle w:val="ListBullet"/>
      </w:pPr>
      <w:r>
        <w:t>Causal nonseparability does not imply environmental objectivity, and objectivity is not a causal witness.</w:t>
      </w:r>
    </w:p>
    <w:p w14:paraId="599E8FF5" w14:textId="77777777" w:rsidR="006A62CE" w:rsidRDefault="00000000">
      <w:pPr>
        <w:pStyle w:val="ListBullet"/>
      </w:pPr>
      <w:r>
        <w:t>The inherited-witness theorem requires deterministic local recovery of the certified base process.</w:t>
      </w:r>
    </w:p>
    <w:p w14:paraId="330581BF" w14:textId="77777777" w:rsidR="006A62CE" w:rsidRDefault="00000000">
      <w:pPr>
        <w:pStyle w:val="ListBullet"/>
      </w:pPr>
      <w:r>
        <w:t>The SBS diagnostics are finite local and correlation diagnostics, not a global distance-to-SBS theorem.</w:t>
      </w:r>
    </w:p>
    <w:p w14:paraId="754F4AC2" w14:textId="77777777" w:rsidR="006A62CE" w:rsidRDefault="00000000">
      <w:pPr>
        <w:pStyle w:val="ListBullet"/>
      </w:pPr>
      <w:r>
        <w:t>The validation package contains analytic proofs, Qiskit and NumPy gate-level statevector results, reduced-normal-form checks, and finite-shot ideal-sampling outputs. These are computational validation results, not physical-device measurements.</w:t>
      </w:r>
    </w:p>
    <w:p w14:paraId="7DF3F487" w14:textId="77777777" w:rsidR="006A62CE" w:rsidRDefault="00000000">
      <w:pPr>
        <w:pStyle w:val="ListBullet"/>
      </w:pPr>
      <w:r>
        <w:t>The access decomposition is defined relative to the declared branch-basis dephasing and access structure.</w:t>
      </w:r>
    </w:p>
    <w:p w14:paraId="12F8C938" w14:textId="77777777" w:rsidR="006A62CE" w:rsidRDefault="00000000">
      <w:pPr>
        <w:pStyle w:val="ListBullet"/>
      </w:pPr>
      <w:r>
        <w:t>The Helstrom-neutrality theorem is exact for the declared equal-prior binary model and is not asserted for arbitrary tasks, priors, channels, or dimensions.</w:t>
      </w:r>
    </w:p>
    <w:p w14:paraId="6D4C2BA7" w14:textId="77777777" w:rsidR="006A62CE" w:rsidRDefault="00000000">
      <w:pPr>
        <w:pStyle w:val="Heading1"/>
      </w:pPr>
      <w:r>
        <w:t>XI. Conclusion</w:t>
      </w:r>
    </w:p>
    <w:p w14:paraId="1E339C5B" w14:textId="77777777" w:rsidR="006A62CE" w:rsidRDefault="00000000">
      <w:r>
        <w:t xml:space="preserve">Environmental objectivity and causal nonseparability are independent operational structures. That independence is the central result: a process can carry redundant environmental records without causal nonseparability, and a causally nonseparable process need not create objective records. When record-generating operations are coherently ordered, branchwise pointer compatibility determines deterministic preservation, while the control provides a bounded joint-access information resource. The resource can increase Holevo information for T+F without improving equal-prior </w:t>
      </w:r>
      <w:r>
        <w:lastRenderedPageBreak/>
        <w:t>binary discrimination or fragment-only redundancy. Postselection is probability constrained, record replication does not make the bonus extensive, and deterministic local record outputs preserve an independently certified causal witness as a supporting consistency check.</w:t>
      </w:r>
    </w:p>
    <w:p w14:paraId="3D021E1C" w14:textId="77777777" w:rsidR="006A62CE" w:rsidRDefault="00000000">
      <w:r>
        <w:t>The comparison with communication-power results further shows why coherent order should be assessed task by task. An advantage in one-shot message transmission does not imply an advantage in equal-prior environmental-record discrimination, environmental redundancy, or spectrum-broadcast structure. The framework therefore gives theory and experiment a common checklist for separating redundant environmental records, control-assisted information, postselection effects, decision performance, comparator choice, and independent causal certification in controlled-order record circuits.</w:t>
      </w:r>
    </w:p>
    <w:p w14:paraId="1549E3DA" w14:textId="77777777" w:rsidR="006A62CE" w:rsidRDefault="00000000">
      <w:pPr>
        <w:pStyle w:val="Heading1"/>
      </w:pPr>
      <w:r>
        <w:t>Data and code availability</w:t>
      </w:r>
    </w:p>
    <w:p w14:paraId="4EB6E734" w14:textId="3D87E26A" w:rsidR="006A62CE" w:rsidRDefault="00000000">
      <w:r>
        <w:t xml:space="preserve">All deterministic scripts, prediction tables, exact matrix outputs, finite-shot computational counts, interval calculations, local simulator outputs, theorem certificates, reports, and checksums assembled for this submission are included in the accompanying reproducibility package. The package includes machine-readable numerical validation outputs and simulation-generated finite-shot data but no measurements from a physical quantum processor. The public archive is cited as: S. Muniz, Causal Nonseparability and Environmental Objectivity Reproducibility Package, Version 6.0, </w:t>
      </w:r>
      <w:proofErr w:type="spellStart"/>
      <w:r>
        <w:t>Zenodo</w:t>
      </w:r>
      <w:proofErr w:type="spellEnd"/>
      <w:r>
        <w:t xml:space="preserve"> (2026), DOI: </w:t>
      </w:r>
      <w:r w:rsidR="00D568EB" w:rsidRPr="00D568EB">
        <w:t>10.5281/zenodo.21936044</w:t>
      </w:r>
      <w:r>
        <w:t>.</w:t>
      </w:r>
    </w:p>
    <w:p w14:paraId="59D09AE5" w14:textId="77777777" w:rsidR="006A62CE" w:rsidRDefault="00000000">
      <w:pPr>
        <w:pStyle w:val="Heading1"/>
      </w:pPr>
      <w:r>
        <w:t>Author contributions, declarations, and AI assistance</w:t>
      </w:r>
    </w:p>
    <w:p w14:paraId="32D31756" w14:textId="77777777" w:rsidR="006A62CE" w:rsidRDefault="00000000">
      <w:r>
        <w:t>S.M. is the sole author, conceived and directed the research, and takes responsibility for the manuscript and its claims. The author is affiliated with Dr. Ware Technology Services and declares no competing interests. Microsoft 365 Copilot assisted with language editing, code review, bibliographic organization, consistency analysis, and draft preparation. All mathematical derivations, numerical outputs, references, and scientific claims were independently verified by the author. No AI system is an author.</w:t>
      </w:r>
    </w:p>
    <w:p w14:paraId="67331768" w14:textId="77777777" w:rsidR="006A62CE" w:rsidRDefault="00000000">
      <w:pPr>
        <w:pStyle w:val="Heading1"/>
      </w:pPr>
      <w:r>
        <w:t>Appendix A. Matrix route for the neutrality theorem</w:t>
      </w:r>
    </w:p>
    <w:p w14:paraId="2E15D077" w14:textId="77777777" w:rsidR="006A62CE" w:rsidRDefault="00000000">
      <w:r>
        <w:t>The original symbolic script generates the physical-basis operators from the real-rotation circuit and verifies p_coh(λ)=λ²p_AB(λ)=λ²p_BA(λ). The Version 6 manuscript preserves the Version 5 validation datasets and adds narrative, comparator, disclosure, and traceability updates rather than new physical-device data. The gate-level implementation independently reconstructs the four-qubit gates with NumPy, traces to E₂ or T+E₂, and exports the physical-basis entries of Δ_AB, Δ_BA, and Δ_coh at all 51 grid points in v4_gate_level_validation.csv. The separate reduced-normal-form file remains a consequence-level check rather than a circuit-level derivation.</w:t>
      </w:r>
    </w:p>
    <w:p w14:paraId="15EB3D59" w14:textId="77777777" w:rsidR="006A62CE" w:rsidRDefault="00000000">
      <w:pPr>
        <w:pStyle w:val="Heading1"/>
      </w:pPr>
      <w:r>
        <w:t>Appendix B. Referee reproducibility checklist</w:t>
      </w:r>
    </w:p>
    <w:p w14:paraId="7C9D4A2F" w14:textId="77777777" w:rsidR="006A62CE" w:rsidRDefault="00000000">
      <w:pPr>
        <w:jc w:val="center"/>
      </w:pPr>
      <w:r>
        <w:rPr>
          <w:b/>
          <w:sz w:val="18"/>
        </w:rPr>
        <w:t>Table VIII. Claim-to-artifact audit map.</w:t>
      </w:r>
    </w:p>
    <w:p w14:paraId="3933D886" w14:textId="77777777" w:rsidR="006A62CE" w:rsidRDefault="00000000">
      <w:r>
        <w:t>Table VIII maps each principal claim to its required reproducibility artifact and verification target.</w:t>
      </w:r>
    </w:p>
    <w:tbl>
      <w:tblPr>
        <w:tblStyle w:val="TableGrid"/>
        <w:tblW w:w="0" w:type="auto"/>
        <w:jc w:val="center"/>
        <w:tblLook w:val="04A0" w:firstRow="1" w:lastRow="0" w:firstColumn="1" w:lastColumn="0" w:noHBand="0" w:noVBand="1"/>
      </w:tblPr>
      <w:tblGrid>
        <w:gridCol w:w="3293"/>
        <w:gridCol w:w="3293"/>
        <w:gridCol w:w="3293"/>
      </w:tblGrid>
      <w:tr w:rsidR="006A62CE" w14:paraId="07202DDC" w14:textId="77777777">
        <w:trPr>
          <w:jc w:val="center"/>
        </w:trPr>
        <w:tc>
          <w:tcPr>
            <w:tcW w:w="3293" w:type="dxa"/>
            <w:shd w:val="clear" w:color="auto" w:fill="D9EAF7"/>
            <w:tcMar>
              <w:top w:w="90" w:type="dxa"/>
              <w:left w:w="90" w:type="dxa"/>
              <w:bottom w:w="90" w:type="dxa"/>
              <w:right w:w="90" w:type="dxa"/>
            </w:tcMar>
            <w:vAlign w:val="center"/>
          </w:tcPr>
          <w:p w14:paraId="15065271" w14:textId="77777777" w:rsidR="006A62CE" w:rsidRDefault="00000000">
            <w:r>
              <w:rPr>
                <w:rFonts w:ascii="Arial" w:hAnsi="Arial"/>
                <w:b/>
                <w:sz w:val="17"/>
              </w:rPr>
              <w:t>Claim</w:t>
            </w:r>
          </w:p>
        </w:tc>
        <w:tc>
          <w:tcPr>
            <w:tcW w:w="3293" w:type="dxa"/>
            <w:shd w:val="clear" w:color="auto" w:fill="D9EAF7"/>
            <w:tcMar>
              <w:top w:w="90" w:type="dxa"/>
              <w:left w:w="90" w:type="dxa"/>
              <w:bottom w:w="90" w:type="dxa"/>
              <w:right w:w="90" w:type="dxa"/>
            </w:tcMar>
            <w:vAlign w:val="center"/>
          </w:tcPr>
          <w:p w14:paraId="2E9570A6" w14:textId="77777777" w:rsidR="006A62CE" w:rsidRDefault="00000000">
            <w:r>
              <w:rPr>
                <w:rFonts w:ascii="Arial" w:hAnsi="Arial"/>
                <w:b/>
                <w:sz w:val="17"/>
              </w:rPr>
              <w:t>Required artifact</w:t>
            </w:r>
          </w:p>
        </w:tc>
        <w:tc>
          <w:tcPr>
            <w:tcW w:w="3293" w:type="dxa"/>
            <w:shd w:val="clear" w:color="auto" w:fill="D9EAF7"/>
            <w:tcMar>
              <w:top w:w="90" w:type="dxa"/>
              <w:left w:w="90" w:type="dxa"/>
              <w:bottom w:w="90" w:type="dxa"/>
              <w:right w:w="90" w:type="dxa"/>
            </w:tcMar>
            <w:vAlign w:val="center"/>
          </w:tcPr>
          <w:p w14:paraId="360F619A" w14:textId="77777777" w:rsidR="006A62CE" w:rsidRDefault="00000000">
            <w:r>
              <w:rPr>
                <w:rFonts w:ascii="Arial" w:hAnsi="Arial"/>
                <w:b/>
                <w:sz w:val="17"/>
              </w:rPr>
              <w:t>Verification target</w:t>
            </w:r>
          </w:p>
        </w:tc>
      </w:tr>
      <w:tr w:rsidR="006A62CE" w14:paraId="083659AB" w14:textId="77777777">
        <w:trPr>
          <w:jc w:val="center"/>
        </w:trPr>
        <w:tc>
          <w:tcPr>
            <w:tcW w:w="3293" w:type="dxa"/>
            <w:tcMar>
              <w:top w:w="90" w:type="dxa"/>
              <w:left w:w="90" w:type="dxa"/>
              <w:bottom w:w="90" w:type="dxa"/>
              <w:right w:w="90" w:type="dxa"/>
            </w:tcMar>
            <w:vAlign w:val="center"/>
          </w:tcPr>
          <w:p w14:paraId="788C0D63" w14:textId="77777777" w:rsidR="006A62CE" w:rsidRDefault="00000000">
            <w:pPr>
              <w:spacing w:after="0"/>
            </w:pPr>
            <w:r>
              <w:rPr>
                <w:sz w:val="16"/>
              </w:rPr>
              <w:t>Access decomposition</w:t>
            </w:r>
          </w:p>
        </w:tc>
        <w:tc>
          <w:tcPr>
            <w:tcW w:w="3293" w:type="dxa"/>
            <w:tcMar>
              <w:top w:w="90" w:type="dxa"/>
              <w:left w:w="90" w:type="dxa"/>
              <w:bottom w:w="90" w:type="dxa"/>
              <w:right w:w="90" w:type="dxa"/>
            </w:tcMar>
            <w:vAlign w:val="center"/>
          </w:tcPr>
          <w:p w14:paraId="2FEA7F35" w14:textId="77777777" w:rsidR="006A62CE" w:rsidRDefault="00000000">
            <w:pPr>
              <w:spacing w:after="0"/>
            </w:pPr>
            <w:r>
              <w:rPr>
                <w:sz w:val="16"/>
              </w:rPr>
              <w:t>Symbolic notebook or script</w:t>
            </w:r>
          </w:p>
        </w:tc>
        <w:tc>
          <w:tcPr>
            <w:tcW w:w="3293" w:type="dxa"/>
            <w:tcMar>
              <w:top w:w="90" w:type="dxa"/>
              <w:left w:w="90" w:type="dxa"/>
              <w:bottom w:w="90" w:type="dxa"/>
              <w:right w:w="90" w:type="dxa"/>
            </w:tcMar>
            <w:vAlign w:val="center"/>
          </w:tcPr>
          <w:p w14:paraId="521EF1FD" w14:textId="77777777" w:rsidR="006A62CE" w:rsidRDefault="00000000">
            <w:pPr>
              <w:spacing w:after="0"/>
            </w:pPr>
            <w:r>
              <w:rPr>
                <w:sz w:val="16"/>
              </w:rPr>
              <w:t>Eq. (3) and marginal-invariance check</w:t>
            </w:r>
          </w:p>
        </w:tc>
      </w:tr>
      <w:tr w:rsidR="006A62CE" w14:paraId="3BED985C" w14:textId="77777777">
        <w:trPr>
          <w:jc w:val="center"/>
        </w:trPr>
        <w:tc>
          <w:tcPr>
            <w:tcW w:w="3293" w:type="dxa"/>
            <w:tcMar>
              <w:top w:w="90" w:type="dxa"/>
              <w:left w:w="90" w:type="dxa"/>
              <w:bottom w:w="90" w:type="dxa"/>
              <w:right w:w="90" w:type="dxa"/>
            </w:tcMar>
            <w:vAlign w:val="center"/>
          </w:tcPr>
          <w:p w14:paraId="281AB809" w14:textId="77777777" w:rsidR="006A62CE" w:rsidRDefault="00000000">
            <w:pPr>
              <w:spacing w:after="0"/>
            </w:pPr>
            <w:r>
              <w:rPr>
                <w:sz w:val="16"/>
              </w:rPr>
              <w:t>Postselection budget</w:t>
            </w:r>
          </w:p>
        </w:tc>
        <w:tc>
          <w:tcPr>
            <w:tcW w:w="3293" w:type="dxa"/>
            <w:tcMar>
              <w:top w:w="90" w:type="dxa"/>
              <w:left w:w="90" w:type="dxa"/>
              <w:bottom w:w="90" w:type="dxa"/>
              <w:right w:w="90" w:type="dxa"/>
            </w:tcMar>
            <w:vAlign w:val="center"/>
          </w:tcPr>
          <w:p w14:paraId="2412EC9D" w14:textId="77777777" w:rsidR="006A62CE" w:rsidRDefault="00000000">
            <w:pPr>
              <w:spacing w:after="0"/>
            </w:pPr>
            <w:r>
              <w:rPr>
                <w:sz w:val="16"/>
              </w:rPr>
              <w:t>Analytic derivation and sampled instruments</w:t>
            </w:r>
          </w:p>
        </w:tc>
        <w:tc>
          <w:tcPr>
            <w:tcW w:w="3293" w:type="dxa"/>
            <w:tcMar>
              <w:top w:w="90" w:type="dxa"/>
              <w:left w:w="90" w:type="dxa"/>
              <w:bottom w:w="90" w:type="dxa"/>
              <w:right w:w="90" w:type="dxa"/>
            </w:tcMar>
            <w:vAlign w:val="center"/>
          </w:tcPr>
          <w:p w14:paraId="050C177C" w14:textId="77777777" w:rsidR="006A62CE" w:rsidRDefault="00000000">
            <w:pPr>
              <w:spacing w:after="0"/>
            </w:pPr>
            <w:r>
              <w:rPr>
                <w:sz w:val="16"/>
              </w:rPr>
              <w:t>Eqs. (7)-(9)</w:t>
            </w:r>
          </w:p>
        </w:tc>
      </w:tr>
      <w:tr w:rsidR="006A62CE" w14:paraId="12445F1E" w14:textId="77777777">
        <w:trPr>
          <w:jc w:val="center"/>
        </w:trPr>
        <w:tc>
          <w:tcPr>
            <w:tcW w:w="3293" w:type="dxa"/>
            <w:tcMar>
              <w:top w:w="90" w:type="dxa"/>
              <w:left w:w="90" w:type="dxa"/>
              <w:bottom w:w="90" w:type="dxa"/>
              <w:right w:w="90" w:type="dxa"/>
            </w:tcMar>
            <w:vAlign w:val="center"/>
          </w:tcPr>
          <w:p w14:paraId="24FAD0A0" w14:textId="77777777" w:rsidR="006A62CE" w:rsidRDefault="00000000">
            <w:pPr>
              <w:spacing w:after="0"/>
            </w:pPr>
            <w:r>
              <w:rPr>
                <w:sz w:val="16"/>
              </w:rPr>
              <w:t>Helstrom neutrality</w:t>
            </w:r>
          </w:p>
        </w:tc>
        <w:tc>
          <w:tcPr>
            <w:tcW w:w="3293" w:type="dxa"/>
            <w:tcMar>
              <w:top w:w="90" w:type="dxa"/>
              <w:left w:w="90" w:type="dxa"/>
              <w:bottom w:w="90" w:type="dxa"/>
              <w:right w:w="90" w:type="dxa"/>
            </w:tcMar>
            <w:vAlign w:val="center"/>
          </w:tcPr>
          <w:p w14:paraId="45223D60" w14:textId="77777777" w:rsidR="006A62CE" w:rsidRDefault="00000000">
            <w:pPr>
              <w:spacing w:after="0"/>
            </w:pPr>
            <w:r>
              <w:rPr>
                <w:sz w:val="16"/>
              </w:rPr>
              <w:t>Symbolic determinant certificate and statevector grid</w:t>
            </w:r>
          </w:p>
        </w:tc>
        <w:tc>
          <w:tcPr>
            <w:tcW w:w="3293" w:type="dxa"/>
            <w:tcMar>
              <w:top w:w="90" w:type="dxa"/>
              <w:left w:w="90" w:type="dxa"/>
              <w:bottom w:w="90" w:type="dxa"/>
              <w:right w:w="90" w:type="dxa"/>
            </w:tcMar>
            <w:vAlign w:val="center"/>
          </w:tcPr>
          <w:p w14:paraId="4D996F01" w14:textId="77777777" w:rsidR="006A62CE" w:rsidRDefault="00000000">
            <w:pPr>
              <w:spacing w:after="0"/>
            </w:pPr>
            <w:r>
              <w:rPr>
                <w:sz w:val="16"/>
              </w:rPr>
              <w:t>Eqs. (10)-(13)</w:t>
            </w:r>
          </w:p>
        </w:tc>
      </w:tr>
      <w:tr w:rsidR="006A62CE" w14:paraId="05FBEBD3" w14:textId="77777777">
        <w:trPr>
          <w:jc w:val="center"/>
        </w:trPr>
        <w:tc>
          <w:tcPr>
            <w:tcW w:w="3293" w:type="dxa"/>
            <w:tcMar>
              <w:top w:w="90" w:type="dxa"/>
              <w:left w:w="90" w:type="dxa"/>
              <w:bottom w:w="90" w:type="dxa"/>
              <w:right w:w="90" w:type="dxa"/>
            </w:tcMar>
            <w:vAlign w:val="center"/>
          </w:tcPr>
          <w:p w14:paraId="6401CEFF" w14:textId="77777777" w:rsidR="006A62CE" w:rsidRDefault="00000000">
            <w:pPr>
              <w:spacing w:after="0"/>
            </w:pPr>
            <w:r>
              <w:rPr>
                <w:sz w:val="16"/>
              </w:rPr>
              <w:t>Matched Holevo bonus</w:t>
            </w:r>
          </w:p>
        </w:tc>
        <w:tc>
          <w:tcPr>
            <w:tcW w:w="3293" w:type="dxa"/>
            <w:tcMar>
              <w:top w:w="90" w:type="dxa"/>
              <w:left w:w="90" w:type="dxa"/>
              <w:bottom w:w="90" w:type="dxa"/>
              <w:right w:w="90" w:type="dxa"/>
            </w:tcMar>
            <w:vAlign w:val="center"/>
          </w:tcPr>
          <w:p w14:paraId="346F0952" w14:textId="77777777" w:rsidR="006A62CE" w:rsidRDefault="00000000">
            <w:pPr>
              <w:spacing w:after="0"/>
            </w:pPr>
            <w:r>
              <w:rPr>
                <w:sz w:val="16"/>
              </w:rPr>
              <w:t>Parameter file and machine-readable output</w:t>
            </w:r>
          </w:p>
        </w:tc>
        <w:tc>
          <w:tcPr>
            <w:tcW w:w="3293" w:type="dxa"/>
            <w:tcMar>
              <w:top w:w="90" w:type="dxa"/>
              <w:left w:w="90" w:type="dxa"/>
              <w:bottom w:w="90" w:type="dxa"/>
              <w:right w:w="90" w:type="dxa"/>
            </w:tcMar>
            <w:vAlign w:val="center"/>
          </w:tcPr>
          <w:p w14:paraId="22C54BDC" w14:textId="77777777" w:rsidR="006A62CE" w:rsidRDefault="00000000">
            <w:pPr>
              <w:spacing w:after="0"/>
            </w:pPr>
            <w:r>
              <w:rPr>
                <w:sz w:val="16"/>
              </w:rPr>
              <w:t>0.0839771759-bit difference</w:t>
            </w:r>
          </w:p>
        </w:tc>
      </w:tr>
      <w:tr w:rsidR="006A62CE" w14:paraId="6BFDB1FB" w14:textId="77777777">
        <w:trPr>
          <w:jc w:val="center"/>
        </w:trPr>
        <w:tc>
          <w:tcPr>
            <w:tcW w:w="3293" w:type="dxa"/>
            <w:tcMar>
              <w:top w:w="90" w:type="dxa"/>
              <w:left w:w="90" w:type="dxa"/>
              <w:bottom w:w="90" w:type="dxa"/>
              <w:right w:w="90" w:type="dxa"/>
            </w:tcMar>
            <w:vAlign w:val="center"/>
          </w:tcPr>
          <w:p w14:paraId="2C92BA45" w14:textId="77777777" w:rsidR="006A62CE" w:rsidRDefault="00000000">
            <w:pPr>
              <w:spacing w:after="0"/>
            </w:pPr>
            <w:r>
              <w:rPr>
                <w:sz w:val="16"/>
              </w:rPr>
              <w:t>Many-fragment result</w:t>
            </w:r>
          </w:p>
        </w:tc>
        <w:tc>
          <w:tcPr>
            <w:tcW w:w="3293" w:type="dxa"/>
            <w:tcMar>
              <w:top w:w="90" w:type="dxa"/>
              <w:left w:w="90" w:type="dxa"/>
              <w:bottom w:w="90" w:type="dxa"/>
              <w:right w:w="90" w:type="dxa"/>
            </w:tcMar>
            <w:vAlign w:val="center"/>
          </w:tcPr>
          <w:p w14:paraId="1400C0E3" w14:textId="77777777" w:rsidR="006A62CE" w:rsidRDefault="00000000">
            <w:pPr>
              <w:spacing w:after="0"/>
            </w:pPr>
            <w:r>
              <w:rPr>
                <w:sz w:val="16"/>
              </w:rPr>
              <w:t>Subset-enumeration script and tables</w:t>
            </w:r>
          </w:p>
        </w:tc>
        <w:tc>
          <w:tcPr>
            <w:tcW w:w="3293" w:type="dxa"/>
            <w:tcMar>
              <w:top w:w="90" w:type="dxa"/>
              <w:left w:w="90" w:type="dxa"/>
              <w:bottom w:w="90" w:type="dxa"/>
              <w:right w:w="90" w:type="dxa"/>
            </w:tcMar>
            <w:vAlign w:val="center"/>
          </w:tcPr>
          <w:p w14:paraId="7BF47371" w14:textId="77777777" w:rsidR="006A62CE" w:rsidRDefault="00000000">
            <w:pPr>
              <w:spacing w:after="0"/>
            </w:pPr>
            <w:r>
              <w:rPr>
                <w:sz w:val="16"/>
              </w:rPr>
              <w:t>N=2,4,6,8 conclusions</w:t>
            </w:r>
          </w:p>
        </w:tc>
      </w:tr>
      <w:tr w:rsidR="006A62CE" w14:paraId="5A7C36E6" w14:textId="77777777">
        <w:trPr>
          <w:jc w:val="center"/>
        </w:trPr>
        <w:tc>
          <w:tcPr>
            <w:tcW w:w="3293" w:type="dxa"/>
            <w:tcMar>
              <w:top w:w="90" w:type="dxa"/>
              <w:left w:w="90" w:type="dxa"/>
              <w:bottom w:w="90" w:type="dxa"/>
              <w:right w:w="90" w:type="dxa"/>
            </w:tcMar>
            <w:vAlign w:val="center"/>
          </w:tcPr>
          <w:p w14:paraId="0B7657C4" w14:textId="77777777" w:rsidR="00B014A9" w:rsidRDefault="00000000">
            <w:pPr>
              <w:spacing w:after="40" w:line="240" w:lineRule="auto"/>
            </w:pPr>
            <w:r>
              <w:t>Supporting witness pullback</w:t>
            </w:r>
          </w:p>
        </w:tc>
        <w:tc>
          <w:tcPr>
            <w:tcW w:w="3293" w:type="dxa"/>
            <w:tcMar>
              <w:top w:w="90" w:type="dxa"/>
              <w:left w:w="90" w:type="dxa"/>
              <w:bottom w:w="90" w:type="dxa"/>
              <w:right w:w="90" w:type="dxa"/>
            </w:tcMar>
            <w:vAlign w:val="center"/>
          </w:tcPr>
          <w:p w14:paraId="5611BE03" w14:textId="77777777" w:rsidR="00B014A9" w:rsidRDefault="00000000">
            <w:pPr>
              <w:spacing w:after="40" w:line="240" w:lineRule="auto"/>
            </w:pPr>
            <w:r>
              <w:t>Process-space assumptions and witness certificate</w:t>
            </w:r>
          </w:p>
        </w:tc>
        <w:tc>
          <w:tcPr>
            <w:tcW w:w="3293" w:type="dxa"/>
            <w:tcMar>
              <w:top w:w="90" w:type="dxa"/>
              <w:left w:w="90" w:type="dxa"/>
              <w:bottom w:w="90" w:type="dxa"/>
              <w:right w:w="90" w:type="dxa"/>
            </w:tcMar>
            <w:vAlign w:val="center"/>
          </w:tcPr>
          <w:p w14:paraId="01B361B2" w14:textId="77777777" w:rsidR="00B014A9" w:rsidRDefault="00000000">
            <w:pPr>
              <w:spacing w:after="40" w:line="240" w:lineRule="auto"/>
            </w:pPr>
            <w:r>
              <w:t>Proposition 1 and Eqs. (14)-(17)</w:t>
            </w:r>
          </w:p>
        </w:tc>
      </w:tr>
      <w:tr w:rsidR="006A62CE" w14:paraId="12E56DBD" w14:textId="77777777">
        <w:trPr>
          <w:jc w:val="center"/>
        </w:trPr>
        <w:tc>
          <w:tcPr>
            <w:tcW w:w="3293" w:type="dxa"/>
            <w:tcMar>
              <w:top w:w="90" w:type="dxa"/>
              <w:left w:w="90" w:type="dxa"/>
              <w:bottom w:w="90" w:type="dxa"/>
              <w:right w:w="90" w:type="dxa"/>
            </w:tcMar>
            <w:vAlign w:val="center"/>
          </w:tcPr>
          <w:p w14:paraId="6A52EE58" w14:textId="77777777" w:rsidR="006A62CE" w:rsidRDefault="00000000">
            <w:pPr>
              <w:spacing w:after="0"/>
            </w:pPr>
            <w:r>
              <w:rPr>
                <w:sz w:val="16"/>
              </w:rPr>
              <w:lastRenderedPageBreak/>
              <w:t>Four-qubit route</w:t>
            </w:r>
          </w:p>
        </w:tc>
        <w:tc>
          <w:tcPr>
            <w:tcW w:w="3293" w:type="dxa"/>
            <w:tcMar>
              <w:top w:w="90" w:type="dxa"/>
              <w:left w:w="90" w:type="dxa"/>
              <w:bottom w:w="90" w:type="dxa"/>
              <w:right w:w="90" w:type="dxa"/>
            </w:tcMar>
            <w:vAlign w:val="center"/>
          </w:tcPr>
          <w:p w14:paraId="0A8E892D" w14:textId="77777777" w:rsidR="006A62CE" w:rsidRDefault="00000000">
            <w:pPr>
              <w:spacing w:after="0"/>
            </w:pPr>
            <w:r>
              <w:rPr>
                <w:sz w:val="16"/>
              </w:rPr>
              <w:t>OpenQASM and tomography scripts</w:t>
            </w:r>
          </w:p>
        </w:tc>
        <w:tc>
          <w:tcPr>
            <w:tcW w:w="3293" w:type="dxa"/>
            <w:tcMar>
              <w:top w:w="90" w:type="dxa"/>
              <w:left w:w="90" w:type="dxa"/>
              <w:bottom w:w="90" w:type="dxa"/>
              <w:right w:w="90" w:type="dxa"/>
            </w:tcMar>
            <w:vAlign w:val="center"/>
          </w:tcPr>
          <w:p w14:paraId="193149B5" w14:textId="77777777" w:rsidR="006A62CE" w:rsidRDefault="00000000">
            <w:pPr>
              <w:spacing w:after="0"/>
            </w:pPr>
            <w:r>
              <w:rPr>
                <w:sz w:val="16"/>
              </w:rPr>
              <w:t>Declared simulator predictions</w:t>
            </w:r>
          </w:p>
        </w:tc>
      </w:tr>
      <w:tr w:rsidR="006A62CE" w14:paraId="6F4286C4" w14:textId="77777777">
        <w:trPr>
          <w:jc w:val="center"/>
        </w:trPr>
        <w:tc>
          <w:tcPr>
            <w:tcW w:w="3293" w:type="dxa"/>
            <w:tcMar>
              <w:top w:w="90" w:type="dxa"/>
              <w:left w:w="90" w:type="dxa"/>
              <w:bottom w:w="90" w:type="dxa"/>
              <w:right w:w="90" w:type="dxa"/>
            </w:tcMar>
          </w:tcPr>
          <w:p w14:paraId="06AF9BFE" w14:textId="77777777" w:rsidR="006A62CE" w:rsidRDefault="00000000">
            <w:r>
              <w:t>Gate-level circuit neutrality</w:t>
            </w:r>
          </w:p>
        </w:tc>
        <w:tc>
          <w:tcPr>
            <w:tcW w:w="3293" w:type="dxa"/>
            <w:tcMar>
              <w:top w:w="90" w:type="dxa"/>
              <w:left w:w="90" w:type="dxa"/>
              <w:bottom w:w="90" w:type="dxa"/>
              <w:right w:w="90" w:type="dxa"/>
            </w:tcMar>
          </w:tcPr>
          <w:p w14:paraId="1A0018D2" w14:textId="77777777" w:rsidR="006A62CE" w:rsidRDefault="00000000">
            <w:r>
              <w:t>gate_level_validation_v4.py; v4_gate_level_validation.csv</w:t>
            </w:r>
          </w:p>
        </w:tc>
        <w:tc>
          <w:tcPr>
            <w:tcW w:w="3293" w:type="dxa"/>
            <w:tcMar>
              <w:top w:w="90" w:type="dxa"/>
              <w:left w:w="90" w:type="dxa"/>
              <w:bottom w:w="90" w:type="dxa"/>
              <w:right w:w="90" w:type="dxa"/>
            </w:tcMar>
          </w:tcPr>
          <w:p w14:paraId="10C4F6F3" w14:textId="77777777" w:rsidR="006A62CE" w:rsidRDefault="00000000">
            <w:r>
              <w:t>Physical-basis matrices, spectra, and Eq. (13) over 51 settings</w:t>
            </w:r>
          </w:p>
        </w:tc>
      </w:tr>
      <w:tr w:rsidR="006A62CE" w14:paraId="62A81365" w14:textId="77777777">
        <w:trPr>
          <w:jc w:val="center"/>
        </w:trPr>
        <w:tc>
          <w:tcPr>
            <w:tcW w:w="3293" w:type="dxa"/>
            <w:tcMar>
              <w:top w:w="90" w:type="dxa"/>
              <w:left w:w="90" w:type="dxa"/>
              <w:bottom w:w="90" w:type="dxa"/>
              <w:right w:w="90" w:type="dxa"/>
            </w:tcMar>
          </w:tcPr>
          <w:p w14:paraId="6638F9C6" w14:textId="77777777" w:rsidR="006A62CE" w:rsidRDefault="00000000">
            <w:r>
              <w:t>Reduced spectral normal forms</w:t>
            </w:r>
          </w:p>
        </w:tc>
        <w:tc>
          <w:tcPr>
            <w:tcW w:w="3293" w:type="dxa"/>
            <w:tcMar>
              <w:top w:w="90" w:type="dxa"/>
              <w:left w:w="90" w:type="dxa"/>
              <w:bottom w:w="90" w:type="dxa"/>
              <w:right w:w="90" w:type="dxa"/>
            </w:tcMar>
          </w:tcPr>
          <w:p w14:paraId="32D3026A" w14:textId="77777777" w:rsidR="006A62CE" w:rsidRDefault="00000000">
            <w:r>
              <w:t>classical_validation_v3.py; v3_exact_matrix_validation.csv</w:t>
            </w:r>
          </w:p>
        </w:tc>
        <w:tc>
          <w:tcPr>
            <w:tcW w:w="3293" w:type="dxa"/>
            <w:tcMar>
              <w:top w:w="90" w:type="dxa"/>
              <w:left w:w="90" w:type="dxa"/>
              <w:bottom w:w="90" w:type="dxa"/>
              <w:right w:w="90" w:type="dxa"/>
            </w:tcMar>
          </w:tcPr>
          <w:p w14:paraId="64105C0C" w14:textId="77777777" w:rsidR="006A62CE" w:rsidRDefault="00000000">
            <w:r>
              <w:t>Normal-form eigenvalues and trace norms over 51 settings</w:t>
            </w:r>
          </w:p>
        </w:tc>
      </w:tr>
      <w:tr w:rsidR="006A62CE" w14:paraId="5CCB253D" w14:textId="77777777">
        <w:trPr>
          <w:jc w:val="center"/>
        </w:trPr>
        <w:tc>
          <w:tcPr>
            <w:tcW w:w="3293" w:type="dxa"/>
            <w:tcMar>
              <w:top w:w="90" w:type="dxa"/>
              <w:left w:w="90" w:type="dxa"/>
              <w:bottom w:w="90" w:type="dxa"/>
              <w:right w:w="90" w:type="dxa"/>
            </w:tcMar>
          </w:tcPr>
          <w:p w14:paraId="64FCFE21" w14:textId="77777777" w:rsidR="006A62CE" w:rsidRDefault="00000000">
            <w:r>
              <w:t>Finite-shot ideal sampling</w:t>
            </w:r>
          </w:p>
        </w:tc>
        <w:tc>
          <w:tcPr>
            <w:tcW w:w="3293" w:type="dxa"/>
            <w:tcMar>
              <w:top w:w="90" w:type="dxa"/>
              <w:left w:w="90" w:type="dxa"/>
              <w:bottom w:w="90" w:type="dxa"/>
              <w:right w:w="90" w:type="dxa"/>
            </w:tcMar>
          </w:tcPr>
          <w:p w14:paraId="58AE1C2B" w14:textId="77777777" w:rsidR="006A62CE" w:rsidRDefault="00000000">
            <w:r>
              <w:t>v4_finite_shot_validation.csv</w:t>
            </w:r>
          </w:p>
        </w:tc>
        <w:tc>
          <w:tcPr>
            <w:tcW w:w="3293" w:type="dxa"/>
            <w:tcMar>
              <w:top w:w="90" w:type="dxa"/>
              <w:left w:w="90" w:type="dxa"/>
              <w:bottom w:w="90" w:type="dxa"/>
              <w:right w:w="90" w:type="dxa"/>
            </w:tcMar>
          </w:tcPr>
          <w:p w14:paraId="2A7B71D8" w14:textId="77777777" w:rsidR="006A62CE" w:rsidRDefault="00000000">
            <w:r>
              <w:t>Counts, bias, error, and simultaneous intervals over 99 settings</w:t>
            </w:r>
          </w:p>
        </w:tc>
      </w:tr>
      <w:tr w:rsidR="006A62CE" w14:paraId="4FA57B22" w14:textId="77777777">
        <w:trPr>
          <w:jc w:val="center"/>
        </w:trPr>
        <w:tc>
          <w:tcPr>
            <w:tcW w:w="3293" w:type="dxa"/>
            <w:tcMar>
              <w:top w:w="90" w:type="dxa"/>
              <w:left w:w="90" w:type="dxa"/>
              <w:bottom w:w="90" w:type="dxa"/>
              <w:right w:w="90" w:type="dxa"/>
            </w:tcMar>
          </w:tcPr>
          <w:p w14:paraId="786070B8" w14:textId="77777777" w:rsidR="006A62CE" w:rsidRDefault="00000000">
            <w:r>
              <w:t>Validation summary and integrity</w:t>
            </w:r>
          </w:p>
        </w:tc>
        <w:tc>
          <w:tcPr>
            <w:tcW w:w="3293" w:type="dxa"/>
            <w:tcMar>
              <w:top w:w="90" w:type="dxa"/>
              <w:left w:w="90" w:type="dxa"/>
              <w:bottom w:w="90" w:type="dxa"/>
              <w:right w:w="90" w:type="dxa"/>
            </w:tcMar>
          </w:tcPr>
          <w:p w14:paraId="26D141B3" w14:textId="77777777" w:rsidR="006A62CE" w:rsidRDefault="00000000">
            <w:r>
              <w:t>v4_validation_summary.json; v4_checksums.sha256</w:t>
            </w:r>
          </w:p>
        </w:tc>
        <w:tc>
          <w:tcPr>
            <w:tcW w:w="3293" w:type="dxa"/>
            <w:tcMar>
              <w:top w:w="90" w:type="dxa"/>
              <w:left w:w="90" w:type="dxa"/>
              <w:bottom w:w="90" w:type="dxa"/>
              <w:right w:w="90" w:type="dxa"/>
            </w:tcMar>
          </w:tcPr>
          <w:p w14:paraId="44D2376F" w14:textId="77777777" w:rsidR="006A62CE" w:rsidRDefault="00000000">
            <w:r>
              <w:t>Seed, versions, aggregate metrics, and SHA-256 hashes</w:t>
            </w:r>
          </w:p>
        </w:tc>
      </w:tr>
      <w:tr w:rsidR="006A62CE" w14:paraId="02E9148C" w14:textId="77777777">
        <w:trPr>
          <w:jc w:val="center"/>
        </w:trPr>
        <w:tc>
          <w:tcPr>
            <w:tcW w:w="3293" w:type="dxa"/>
            <w:tcMar>
              <w:top w:w="90" w:type="dxa"/>
              <w:left w:w="90" w:type="dxa"/>
              <w:bottom w:w="90" w:type="dxa"/>
              <w:right w:w="90" w:type="dxa"/>
            </w:tcMar>
            <w:vAlign w:val="center"/>
          </w:tcPr>
          <w:p w14:paraId="59B78CA8" w14:textId="77777777" w:rsidR="00B014A9" w:rsidRDefault="00000000">
            <w:pPr>
              <w:spacing w:after="40" w:line="240" w:lineRule="auto"/>
            </w:pPr>
            <w:r>
              <w:t>Version 6 manuscript validation</w:t>
            </w:r>
          </w:p>
        </w:tc>
        <w:tc>
          <w:tcPr>
            <w:tcW w:w="3293" w:type="dxa"/>
            <w:tcMar>
              <w:top w:w="90" w:type="dxa"/>
              <w:left w:w="90" w:type="dxa"/>
              <w:bottom w:w="90" w:type="dxa"/>
              <w:right w:w="90" w:type="dxa"/>
            </w:tcMar>
            <w:vAlign w:val="center"/>
          </w:tcPr>
          <w:p w14:paraId="719BDC34" w14:textId="77777777" w:rsidR="00B014A9" w:rsidRDefault="00000000">
            <w:pPr>
              <w:spacing w:after="40" w:line="240" w:lineRule="auto"/>
            </w:pPr>
            <w:r>
              <w:t>Submission_Paper_PRXQ_V6.docx; v4_checksums.sha256; claim-to-artifact audit map</w:t>
            </w:r>
          </w:p>
        </w:tc>
        <w:tc>
          <w:tcPr>
            <w:tcW w:w="3293" w:type="dxa"/>
            <w:tcMar>
              <w:top w:w="90" w:type="dxa"/>
              <w:left w:w="90" w:type="dxa"/>
              <w:bottom w:w="90" w:type="dxa"/>
              <w:right w:w="90" w:type="dxa"/>
            </w:tcMar>
            <w:vAlign w:val="center"/>
          </w:tcPr>
          <w:p w14:paraId="035B9933" w14:textId="77777777" w:rsidR="00B014A9" w:rsidRDefault="00000000">
            <w:pPr>
              <w:spacing w:after="40" w:line="240" w:lineRule="auto"/>
            </w:pPr>
            <w:r>
              <w:t>Updated framing, comparator hierarchy, Definition 2 clarification, AI disclosure, DOI consistency, and validated numerical summaries</w:t>
            </w:r>
          </w:p>
        </w:tc>
      </w:tr>
    </w:tbl>
    <w:p w14:paraId="42C5F8EE" w14:textId="77777777" w:rsidR="006A62CE" w:rsidRDefault="006A62CE">
      <w:pPr>
        <w:spacing w:after="20"/>
      </w:pPr>
    </w:p>
    <w:p w14:paraId="3FEB9389" w14:textId="77777777" w:rsidR="006A62CE" w:rsidRDefault="00000000">
      <w:pPr>
        <w:pStyle w:val="Heading1"/>
      </w:pPr>
      <w:r>
        <w:t>References</w:t>
      </w:r>
    </w:p>
    <w:p w14:paraId="4B87CDC7" w14:textId="77777777" w:rsidR="006A62CE" w:rsidRDefault="00000000">
      <w:pPr>
        <w:ind w:left="317" w:hanging="317"/>
      </w:pPr>
      <w:r>
        <w:t>[1] W. H. Zurek, Decoherence, einselection, and the quantum origins of the classical, Rev. Mod. Phys. 75, 715 (2003).</w:t>
      </w:r>
    </w:p>
    <w:p w14:paraId="33EE316C" w14:textId="77777777" w:rsidR="006A62CE" w:rsidRDefault="00000000">
      <w:pPr>
        <w:ind w:left="317" w:hanging="317"/>
      </w:pPr>
      <w:r>
        <w:t>[2] H. Ollivier, D. Poulin, and W. H. Zurek, Objective Properties from Subjective Quantum States: Environment as a Witness, Phys. Rev. Lett. 93, 220401 (2004).</w:t>
      </w:r>
    </w:p>
    <w:p w14:paraId="53EAC5D0" w14:textId="77777777" w:rsidR="006A62CE" w:rsidRDefault="00000000">
      <w:pPr>
        <w:ind w:left="317" w:hanging="317"/>
      </w:pPr>
      <w:r>
        <w:t>[3] R. Blume-Kohout and W. H. Zurek, Quantum Darwinism: Entanglement, branches, and the emergent classicality of redundantly stored quantum information, Phys. Rev. A 73, 062310 (2006).</w:t>
      </w:r>
    </w:p>
    <w:p w14:paraId="70B3A4A3" w14:textId="77777777" w:rsidR="006A62CE" w:rsidRDefault="00000000">
      <w:pPr>
        <w:ind w:left="317" w:hanging="317"/>
      </w:pPr>
      <w:r>
        <w:t>[4] W. H. Zurek, Quantum Darwinism, Nat. Phys. 5, 181 (2009).</w:t>
      </w:r>
    </w:p>
    <w:p w14:paraId="36BFE685" w14:textId="77777777" w:rsidR="006A62CE" w:rsidRDefault="00000000">
      <w:pPr>
        <w:ind w:left="317" w:hanging="317"/>
      </w:pPr>
      <w:r>
        <w:t>[5] C. J. Riedel and W. H. Zurek, Quantum Darwinism in an Everyday Environment, Phys. Rev. Lett. 105, 020404 (2010).</w:t>
      </w:r>
    </w:p>
    <w:p w14:paraId="7AFB45F8" w14:textId="77777777" w:rsidR="006A62CE" w:rsidRDefault="00000000">
      <w:pPr>
        <w:ind w:left="317" w:hanging="317"/>
      </w:pPr>
      <w:r>
        <w:t>[6] J. K. Korbicz, P. Horodecki, and R. Horodecki, Objectivity in a Noisy Photonic Environment through Quantum State Information Broadcasting, Phys. Rev. Lett. 112, 120402 (2014).</w:t>
      </w:r>
    </w:p>
    <w:p w14:paraId="14B82A24" w14:textId="77777777" w:rsidR="006A62CE" w:rsidRDefault="00000000">
      <w:pPr>
        <w:ind w:left="317" w:hanging="317"/>
      </w:pPr>
      <w:r>
        <w:t>[7] R. Horodecki, J. K. Korbicz, and P. Horodecki, Quantum origins of objectivity, Phys. Rev. A 91, 032122 (2015).</w:t>
      </w:r>
    </w:p>
    <w:p w14:paraId="7835620B" w14:textId="77777777" w:rsidR="006A62CE" w:rsidRDefault="00000000">
      <w:pPr>
        <w:ind w:left="317" w:hanging="317"/>
      </w:pPr>
      <w:r>
        <w:t>[8] J. K. Korbicz, Roads to objectivity: Quantum Darwinism, spectrum broadcast structures, and strong quantum Darwinism, Quantum 5, 571 (2021).</w:t>
      </w:r>
    </w:p>
    <w:p w14:paraId="32FF3E54" w14:textId="77777777" w:rsidR="006A62CE" w:rsidRDefault="00000000">
      <w:pPr>
        <w:ind w:left="317" w:hanging="317"/>
      </w:pPr>
      <w:r>
        <w:t>[9] O. Oreshkov, F. Costa, and Č. Brukner, Quantum correlations with no causal order, Nat. Commun. 3, 1092 (2012).</w:t>
      </w:r>
    </w:p>
    <w:p w14:paraId="0506D996" w14:textId="77777777" w:rsidR="006A62CE" w:rsidRDefault="00000000">
      <w:pPr>
        <w:ind w:left="317" w:hanging="317"/>
      </w:pPr>
      <w:r>
        <w:t>[10] M. Araújo et al., Witnessing causal nonseparability, New J. Phys. 17, 102001 (2015).</w:t>
      </w:r>
    </w:p>
    <w:p w14:paraId="72D60464" w14:textId="77777777" w:rsidR="006A62CE" w:rsidRDefault="00000000">
      <w:pPr>
        <w:ind w:left="317" w:hanging="317"/>
      </w:pPr>
      <w:r>
        <w:t>[11] C. Branciard, Witnesses of causal nonseparability: an introduction and a few case studies, Sci. Rep. 6, 26018 (2016).</w:t>
      </w:r>
    </w:p>
    <w:p w14:paraId="17735350" w14:textId="77777777" w:rsidR="006A62CE" w:rsidRDefault="00000000">
      <w:pPr>
        <w:ind w:left="317" w:hanging="317"/>
      </w:pPr>
      <w:r>
        <w:t>[12] J. Wechs, A. A. Abbott, and C. Branciard, Multipartite causal (non)separability, New J. Phys. 21, 013027 (2019).</w:t>
      </w:r>
    </w:p>
    <w:p w14:paraId="3E4FD597" w14:textId="77777777" w:rsidR="006A62CE" w:rsidRDefault="00000000">
      <w:pPr>
        <w:ind w:left="317" w:hanging="317"/>
      </w:pPr>
      <w:r>
        <w:t>[13] E. Castro-Ruiz, F. Giacomini, and Č. Brukner, Dynamics of quantum causal structures, Phys. Rev. X 8, 011047 (2018).</w:t>
      </w:r>
    </w:p>
    <w:p w14:paraId="17C1DE2B" w14:textId="77777777" w:rsidR="006A62CE" w:rsidRDefault="00000000">
      <w:pPr>
        <w:ind w:left="317" w:hanging="317"/>
      </w:pPr>
      <w:r>
        <w:t>[14] S. Campbell et al., Collisional unfolding of quantum Darwinism, Phys. Rev. A 99, 042103 (2019).</w:t>
      </w:r>
    </w:p>
    <w:p w14:paraId="0374E912" w14:textId="77777777" w:rsidR="006A62CE" w:rsidRDefault="00000000">
      <w:pPr>
        <w:ind w:left="317" w:hanging="317"/>
      </w:pPr>
      <w:r>
        <w:lastRenderedPageBreak/>
        <w:t>[15] M. Antesberger et al., Higher-Order Process Matrix Tomography of a Passively-Stable Quantum Switch, PRX Quantum 5, 010325 (2024).</w:t>
      </w:r>
    </w:p>
    <w:p w14:paraId="371E1C06" w14:textId="77777777" w:rsidR="006A62CE" w:rsidRDefault="00000000">
      <w:pPr>
        <w:ind w:left="317" w:hanging="317"/>
      </w:pPr>
      <w:r>
        <w:t>[16] M. M. Taddei, R. V. Nery, and L. Aolita, Quantum superpositions of causal orders as an operational resource, Phys. Rev. Research 1, 033174 (2019).</w:t>
      </w:r>
    </w:p>
    <w:p w14:paraId="1925ECC5" w14:textId="77777777" w:rsidR="006A62CE" w:rsidRDefault="00000000">
      <w:pPr>
        <w:ind w:left="317" w:hanging="317"/>
      </w:pPr>
      <w:r>
        <w:t>[17] E. Doucet and S. Deffner, Classifying Two-Body Hamiltonians for Quantum Darwinism, Phys. Rev. X 14, 041064 (2024).</w:t>
      </w:r>
    </w:p>
    <w:p w14:paraId="5EF90C32" w14:textId="77777777" w:rsidR="006A62CE" w:rsidRDefault="00000000">
      <w:pPr>
        <w:ind w:left="317" w:hanging="317"/>
      </w:pPr>
      <w:r>
        <w:t>[18] D. A. Chisholm, G. M. Palma, and L. Innocenti, Emergence of quantum Darwinism and pointer states for noncommuting evolutions, APS Open Science 1, 000024 (2026).</w:t>
      </w:r>
    </w:p>
    <w:p w14:paraId="1355B0B6" w14:textId="77777777" w:rsidR="006A62CE" w:rsidRDefault="00000000">
      <w:pPr>
        <w:ind w:left="317" w:hanging="317"/>
      </w:pPr>
      <w:r>
        <w:t>[19] G. Chiribella, G. M. D'Ariano, P. Perinotti, and B. Valiron, Quantum computations without definite causal structure, Phys. Rev. A 88, 022318 (2013). DOI: 10.1103/PhysRevA.88.022318.</w:t>
      </w:r>
    </w:p>
    <w:p w14:paraId="5968E1B9" w14:textId="77777777" w:rsidR="006A62CE" w:rsidRDefault="00000000">
      <w:pPr>
        <w:ind w:left="317" w:hanging="317"/>
      </w:pPr>
      <w:r>
        <w:t>[20] T. P. Le and A. Olaya-Castro, Strong Quantum Darwinism and Strong Independence are Equivalent to Spectrum Broadcast Structure, Phys. Rev. Lett. 122, 010403 (2019). DOI: 10.1103/PhysRevLett.122.010403.</w:t>
      </w:r>
    </w:p>
    <w:p w14:paraId="27A86B79" w14:textId="77777777" w:rsidR="006A62CE" w:rsidRDefault="00000000">
      <w:pPr>
        <w:ind w:left="317" w:hanging="317"/>
      </w:pPr>
      <w:r>
        <w:t>[21] L. A. Rozema, T. Strömberg, H. Cao, Y. Guo, B.-H. Liu, and P. Walther, Experimental aspects of indefinite causal order in quantum mechanics, Nat. Rev. Phys. 6, 483-499 (2024). DOI: 10.1038/s42254-024-00739-8.</w:t>
      </w:r>
    </w:p>
    <w:p w14:paraId="032FBEB4" w14:textId="77777777" w:rsidR="006A62CE" w:rsidRDefault="00000000">
      <w:pPr>
        <w:ind w:left="317" w:hanging="317"/>
      </w:pPr>
      <w:r>
        <w:t>[22] X. Zhao, B. Zhao, C. Branciard, and G. Chiribella, The communication power of indefinite causal order, arXiv:2510.08507v2 (2026). DOI: 10.48550/arXiv.2510.08507.</w:t>
      </w:r>
    </w:p>
    <w:p w14:paraId="59B3A647" w14:textId="77777777" w:rsidR="006A62CE" w:rsidRDefault="00000000">
      <w:pPr>
        <w:ind w:left="317" w:hanging="317"/>
      </w:pPr>
      <w:r>
        <w:t>[23] C. M. D. Richter, M. Antesberger, H. Cao, P. Walther, and L. A. Rozema, Toward an Experimental Device-Independent Verification of Indefinite Causal Order, PRX Quantum 7, 010354 (2026). DOI: 10.1103/5t2y-ddmt.</w:t>
      </w:r>
    </w:p>
    <w:p w14:paraId="5BFED60C" w14:textId="77777777" w:rsidR="006A62CE" w:rsidRDefault="00000000">
      <w:pPr>
        <w:ind w:left="317" w:hanging="317"/>
      </w:pPr>
      <w:r>
        <w:t>[24] Z. Zhu et al., Observation of quantum Darwinism and the origin of classicality with superconducting circuits, Sci. Adv. 11, eadx6857 (2025). DOI: 10.1126/sciadv.adx6857.</w:t>
      </w:r>
    </w:p>
    <w:p w14:paraId="5A667C8C" w14:textId="77777777" w:rsidR="006A62CE" w:rsidRDefault="00000000">
      <w:pPr>
        <w:ind w:left="317" w:hanging="317"/>
      </w:pPr>
      <w:r>
        <w:t>[25] A. Steffinlongo and H. Dourdent, Simulating Noncausality with Quantum Control of Causal Orders, Phys. Rev. Research 8, 013127 (2026). DOI: 10.1103/9jss-yf1c.</w:t>
      </w:r>
    </w:p>
    <w:p w14:paraId="28C5002C" w14:textId="77777777" w:rsidR="006A62CE" w:rsidRDefault="00000000">
      <w:pPr>
        <w:ind w:left="317" w:hanging="317"/>
      </w:pPr>
      <w:r>
        <w:t>[26] S. Muniz, Causal Nonseparability and Environmental Objectivity Reproducibility Package, Version 6.0, Zenodo (2026), DOI: 10.5281/zenodo.21933737.</w:t>
      </w:r>
    </w:p>
    <w:p w14:paraId="6C10F8FD" w14:textId="77777777" w:rsidR="00B014A9" w:rsidRDefault="00B014A9"/>
    <w:p w14:paraId="622CFC57" w14:textId="77777777" w:rsidR="00B014A9" w:rsidRDefault="00B014A9"/>
    <w:p w14:paraId="72D98E50" w14:textId="77777777" w:rsidR="00B014A9" w:rsidRDefault="00B014A9"/>
    <w:sectPr w:rsidR="00B014A9" w:rsidSect="00034616">
      <w:footerReference w:type="default" r:id="rId10"/>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6CB0" w14:textId="77777777" w:rsidR="00AE0AAA" w:rsidRDefault="00AE0AAA">
      <w:pPr>
        <w:spacing w:after="0" w:line="240" w:lineRule="auto"/>
      </w:pPr>
      <w:r>
        <w:separator/>
      </w:r>
    </w:p>
  </w:endnote>
  <w:endnote w:type="continuationSeparator" w:id="0">
    <w:p w14:paraId="77733EE2" w14:textId="77777777" w:rsidR="00AE0AAA" w:rsidRDefault="00AE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8F3A" w14:textId="77777777" w:rsidR="006A62CE" w:rsidRDefault="00000000">
    <w:pPr>
      <w:pStyle w:val="Footer"/>
      <w:jc w:val="center"/>
    </w:pPr>
    <w:r>
      <w:rPr>
        <w:color w:val="595959"/>
        <w:sz w:val="16"/>
      </w:rPr>
      <w:t>Scott Muniz | PRX Quantum submission manuscript V5 | DOI placeholder pending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20972" w14:textId="77777777" w:rsidR="00AE0AAA" w:rsidRDefault="00AE0AAA">
      <w:pPr>
        <w:spacing w:after="0" w:line="240" w:lineRule="auto"/>
      </w:pPr>
      <w:r>
        <w:separator/>
      </w:r>
    </w:p>
  </w:footnote>
  <w:footnote w:type="continuationSeparator" w:id="0">
    <w:p w14:paraId="767546BD" w14:textId="77777777" w:rsidR="00AE0AAA" w:rsidRDefault="00AE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988460">
    <w:abstractNumId w:val="8"/>
  </w:num>
  <w:num w:numId="2" w16cid:durableId="574170627">
    <w:abstractNumId w:val="6"/>
  </w:num>
  <w:num w:numId="3" w16cid:durableId="795222968">
    <w:abstractNumId w:val="5"/>
  </w:num>
  <w:num w:numId="4" w16cid:durableId="1783306785">
    <w:abstractNumId w:val="4"/>
  </w:num>
  <w:num w:numId="5" w16cid:durableId="1922830093">
    <w:abstractNumId w:val="7"/>
  </w:num>
  <w:num w:numId="6" w16cid:durableId="1208955516">
    <w:abstractNumId w:val="3"/>
  </w:num>
  <w:num w:numId="7" w16cid:durableId="1303266083">
    <w:abstractNumId w:val="2"/>
  </w:num>
  <w:num w:numId="8" w16cid:durableId="713774452">
    <w:abstractNumId w:val="1"/>
  </w:num>
  <w:num w:numId="9" w16cid:durableId="84752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290"/>
    <w:rsid w:val="0029639D"/>
    <w:rsid w:val="00326F90"/>
    <w:rsid w:val="003F2317"/>
    <w:rsid w:val="006A62CE"/>
    <w:rsid w:val="00A04FAC"/>
    <w:rsid w:val="00AA1D8D"/>
    <w:rsid w:val="00AE0AAA"/>
    <w:rsid w:val="00B014A9"/>
    <w:rsid w:val="00B47730"/>
    <w:rsid w:val="00C312EB"/>
    <w:rsid w:val="00CB0664"/>
    <w:rsid w:val="00D56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00E7FD-FB5C-42C5-939D-E47091F08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after="8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40" w:after="60"/>
      <w:ind w:left="432"/>
    </w:pPr>
    <w:rPr>
      <w:rFonts w:ascii="Cambria Math" w:hAnsi="Cambria Math"/>
      <w:sz w:val="21"/>
    </w:rPr>
  </w:style>
  <w:style w:type="character" w:styleId="Hyperlink">
    <w:name w:val="Hyperlink"/>
    <w:basedOn w:val="DefaultParagraphFont"/>
    <w:uiPriority w:val="99"/>
    <w:unhideWhenUsed/>
    <w:rsid w:val="00C312EB"/>
    <w:rPr>
      <w:color w:val="0000FF" w:themeColor="hyperlink"/>
      <w:u w:val="single"/>
    </w:rPr>
  </w:style>
  <w:style w:type="character" w:styleId="UnresolvedMention">
    <w:name w:val="Unresolved Mention"/>
    <w:basedOn w:val="DefaultParagraphFont"/>
    <w:uiPriority w:val="99"/>
    <w:semiHidden/>
    <w:unhideWhenUsed/>
    <w:rsid w:val="00C31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5581</Words>
  <Characters>37118</Characters>
  <Application>Microsoft Office Word</Application>
  <DocSecurity>0</DocSecurity>
  <Lines>773</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Muniz</dc:creator>
  <cp:keywords/>
  <dc:description>generated by python-docx</dc:description>
  <cp:lastModifiedBy>Scott Muniz</cp:lastModifiedBy>
  <cp:revision>3</cp:revision>
  <dcterms:created xsi:type="dcterms:W3CDTF">2026-08-14T13:00:00Z</dcterms:created>
  <dcterms:modified xsi:type="dcterms:W3CDTF">2026-08-14T14:50:00Z</dcterms:modified>
  <cp:category/>
</cp:coreProperties>
</file>