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 / discharge anchor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Consultant synthesis / interdisciplinary care plan request context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CONSULTANT SYNTHESIS / INTERDISCIPLINARY CARE PLAN REQUEST CONTEXT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Care Coordination  |  05/24/2026 / discharge anchor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The hospitalist-led team needs a future reviewer to integrate specialty recommendations and stakeholder priorities across the locked world files. The future reviewer should preserve the governance rule that the hospitalist synthesizes rather than defers.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synthesize, at minimum: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ED/admission and hospitalist spine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EW2, EW3, EW8, EW10, EW11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Establish initial frame, inpatient evolution, consultant-trigger context, and hospitalist synthesis burden.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Objective and medication action evidence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EW12, EW13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Ground consultant disagreements in trends and actual inpatient actions without treating data as self-interpreting.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Specialty consultation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EW14, EW15, EW16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Reconcile nephrology, cardiology, and endocrinology interpretations without selecting a consultant winner.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Family and discharge-facing context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EW20, EW22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 stakeholder concerns and discharge-source hierarchy without making either file an answer source.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 and care-coordination evidence as needed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EW17, EW18, EW19, EW21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Bring in functional/cognitive and transition evidence when consultant recommendations affect disposition safety.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SYNTHESIS FOCUS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interdisciplinary review should be oriented to: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how Nephrology's renal-safety concerns and Cardiology's HFrEF/CAD protection concerns can both be reasonable;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how Endocrinology's steroid-risk interpretation interacts with primary-team sepsis recovery framing;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how family discharge concerns and functional evidence should inform plan coherence;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how MAR actions and EW12 trends inform but do not settle medication sequencing;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how EW22 should be reconciled with specialty caveats and distributed functional evidence.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create the final interdisciplinary plan or final recommendation set.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#1 is active because prednisone history remains a source-of-truth reconstruction problem. This file must not let Endocrinology, family report, patient recollection, or EW22 replace rheumatology authority.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is active because medication timing remains clinically defensible from multiple perspectives. This file must not create a restart algorithm.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is active because a visible discharge-facing snapshot exists but must be reconciled with consultants, trends, medication actions, family concerns, and functional sources.</w:t>
      </w:r>
    </w:p>
    <w:p>
      <w:r>
        <w:rPr>
          <w:rFonts w:ascii="Arial" w:hAnsi="Arial"/>
          <w:b w:val="0"/>
          <w:i w:val="0"/>
          <w:color w:val="232830"/>
          <w:sz w:val="19"/>
        </w:rPr>
        <w:t>Trap #4 is secondary because interdisciplinary synthesis should avoid both sepsis-only anchoring and steroid-only drift.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All three frictions remain live: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Cardiology vs Nephrology: medication restart timing and sequencing.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Endocrinology vs Primary Team: steroid interpretation and risk.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vs Primary Team: discharge readiness and home safety.</w:t>
      </w:r>
    </w:p>
    <w:p>
      <w:r>
        <w:rPr>
          <w:rFonts w:ascii="Arial" w:hAnsi="Arial"/>
          <w:b w:val="0"/>
          <w:i w:val="0"/>
          <w:color w:val="232830"/>
          <w:sz w:val="19"/>
        </w:rPr>
        <w:t>No friction is resolved by this task-context file.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Consultant notes are recommendations and interpretations, not final medication, steroid, or disposition authorities.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Hospitalist synthesis remains responsible for reconciling competing recommendations.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Objective trends and MAR actions are necessary evidence but not final answers.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report is meaningful stakeholder evidence but remains lower-authority for factual prednisone history.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completed interdisciplinary care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medication authority decision;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steroid taper;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disposition decision;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consultant override;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clinical evidence;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response;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this file preserves all three frictions, all relevant traps, and hospitalist-synthesizes-not-defers governance.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Care Coordination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Consultant synthesis / interdisciplinary care plan request context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