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Care Coordination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 / discharge anchor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Clinical staff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medication reconciliation request context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DISCHARGE MEDICATION RECONCILIATION REQUEST CONTEXT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Clinical staff  |  Department: Care Coordination  |  05/24/2026 / discharge anchor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CONTEXT FRAMING</w:t>
      </w:r>
    </w:p>
    <w:p>
      <w:r>
        <w:rPr>
          <w:rFonts w:ascii="Arial" w:hAnsi="Arial"/>
          <w:b w:val="0"/>
          <w:i w:val="0"/>
          <w:color w:val="232830"/>
          <w:sz w:val="19"/>
        </w:rPr>
        <w:t>This task-context file frames a future medication-safety request after the world-level chart closes. It does not answer the request.</w:t>
      </w:r>
    </w:p>
    <w:p>
      <w:r>
        <w:rPr>
          <w:rFonts w:ascii="Arial" w:hAnsi="Arial"/>
          <w:b w:val="0"/>
          <w:i w:val="0"/>
          <w:color w:val="232830"/>
          <w:sz w:val="19"/>
        </w:rPr>
        <w:t>The requester is preparing for a discharge-anchor medication reconciliation review and wants the future clinician-reviewer to reconcile chronic home medications, inpatient holds, inpatient-only actions, consultant recommendations, objective trends, prednisone-source uncertainty, functional medication-management safety, and the visible discharge-facing snapshot.</w:t>
      </w:r>
    </w:p>
    <w:p>
      <w:r>
        <w:rPr>
          <w:rFonts w:ascii="Arial" w:hAnsi="Arial"/>
          <w:b w:val="0"/>
          <w:i w:val="0"/>
          <w:color w:val="232830"/>
          <w:sz w:val="19"/>
        </w:rPr>
        <w:t>The context is intentionally incomplete unless the reviewer returns to the locked world files.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REQUIRED WORLD-FILE SYNTHESIS</w:t>
      </w:r>
    </w:p>
    <w:p>
      <w:r>
        <w:rPr>
          <w:rFonts w:ascii="Arial" w:hAnsi="Arial"/>
          <w:b w:val="0"/>
          <w:i w:val="0"/>
          <w:color w:val="232830"/>
          <w:sz w:val="19"/>
        </w:rPr>
        <w:t>The future review must synthesize, at minimum: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Source family</w:t>
            </w:r>
          </w:p>
        </w:tc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Locked file IDs</w:t>
            </w:r>
          </w:p>
        </w:tc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Why review is required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Admission and baseline medication context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EW3, EW4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Establish admission problem list, initial home-medication uncertainty, verified medication reconciliation, and early hold logic.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Pharmacy and prednisone provenance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EW5, EW6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Separate pharmacy/refill evidence from outpatient rheumatology prednisone intent and actual home-use uncertainty.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Late hospitalist discharge-planning context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EW11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Identify medical improvement, unresolved discharge concerns, and hospitalist synthesis burden.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Objective trend evidence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EW12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Reassess renal, hemodynamic, infection, potassium, glucose, and intake trends without treating trends as self-interpreting.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Inpatient medication actions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EW13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Understand what was held, administered, or reassessed in hospital without converting MAR actions into discharge orders.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Consultant reasoning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EW14, EW15, EW16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Reconcile nephrology renal-safety timing, cardiology GDMT/CAD protection, and endocrinology steroid-risk interpretation.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Functional medication-management evidence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EW19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Consider ADL/cognitive-functional medication-management safety as part of discharge medication risk.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Discharge-facing snapshot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EW22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Use the visible plan as a source to reconcile, not as a final medication list or answer file.</w:t>
            </w:r>
          </w:p>
        </w:tc>
      </w:tr>
    </w:tbl>
    <w:p>
      <w:pPr>
        <w:spacing w:after="0"/>
      </w:pPr>
    </w:p>
    <w:p>
      <w:r>
        <w:rPr>
          <w:rFonts w:ascii="Arial" w:hAnsi="Arial"/>
          <w:b w:val="0"/>
          <w:i w:val="0"/>
          <w:color w:val="232830"/>
          <w:sz w:val="19"/>
        </w:rPr>
        <w:t>Other locked world files may be relevant when they clarify baseline function, family report, or hospital-course chronology.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REVIEW FOCUS</w:t>
      </w:r>
    </w:p>
    <w:p>
      <w:r>
        <w:rPr>
          <w:rFonts w:ascii="Arial" w:hAnsi="Arial"/>
          <w:b w:val="0"/>
          <w:i w:val="0"/>
          <w:color w:val="232830"/>
          <w:sz w:val="19"/>
        </w:rPr>
        <w:t>The future reviewer should be oriented to these medication-safety domains: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medications held during AKI, hypotension risk, poor intake, or acute illness;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medications that may need continuation because of HFrEF, CAD, diabetes, or chronic disease protection;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timing and sequencing uncertainty around HFrEF/CAD medication reintroduction;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prednisone exposure, taper history, and steroid-risk interpretation;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inpatient-only actions that must not be converted into outpatient medications without evidence;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medication-management safety in the home setting;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follow-up and monitoring needs implied by the world evidence.</w:t>
      </w:r>
    </w:p>
    <w:p>
      <w:r>
        <w:rPr>
          <w:rFonts w:ascii="Arial" w:hAnsi="Arial"/>
          <w:b w:val="0"/>
          <w:i w:val="0"/>
          <w:color w:val="232830"/>
          <w:sz w:val="19"/>
        </w:rPr>
        <w:t>This context does not specify which medications to restart, hold, stop, taper, or prescribe.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TRAP PRESERVATION</w:t>
      </w:r>
    </w:p>
    <w:p>
      <w:r>
        <w:rPr>
          <w:rFonts w:ascii="Arial" w:hAnsi="Arial"/>
          <w:b w:val="0"/>
          <w:i w:val="0"/>
          <w:color w:val="232830"/>
          <w:sz w:val="19"/>
        </w:rPr>
        <w:t>Trap #1 is active because prednisone history requires source reconstruction. Outpatient rheumatology remains the highest prednisone-history authority, followed by verified medication reconciliation, pharmacy/refill history, family report, and patient recollection.</w:t>
      </w:r>
    </w:p>
    <w:p>
      <w:r>
        <w:rPr>
          <w:rFonts w:ascii="Arial" w:hAnsi="Arial"/>
          <w:b w:val="0"/>
          <w:i w:val="0"/>
          <w:color w:val="232830"/>
          <w:sz w:val="19"/>
        </w:rPr>
        <w:t>Trap #2 is active because early medication holds may be appropriate when written but incomplete later. Cardiology and Nephrology remain simultaneously defensible, and neither service becomes the final restart authority.</w:t>
      </w:r>
    </w:p>
    <w:p>
      <w:r>
        <w:rPr>
          <w:rFonts w:ascii="Arial" w:hAnsi="Arial"/>
          <w:b w:val="0"/>
          <w:i w:val="0"/>
          <w:color w:val="232830"/>
          <w:sz w:val="19"/>
        </w:rPr>
        <w:t>Trap #5 is active because EW22 may look organized and reassuring but remains incomplete. It must be reconciled against consultants, trends, MAR/action evidence, functional medication-management evidence, and hospitalist context.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FRICTION PRESERVATION</w:t>
      </w:r>
    </w:p>
    <w:p>
      <w:r>
        <w:rPr>
          <w:rFonts w:ascii="Arial" w:hAnsi="Arial"/>
          <w:b w:val="0"/>
          <w:i w:val="0"/>
          <w:color w:val="232830"/>
          <w:sz w:val="19"/>
        </w:rPr>
        <w:t>Cardiology vs Nephrology remains a timing and sequencing friction. The future reviewer must integrate renal recovery, potassium and blood pressure risk, long-term GDMT/CAD benefit, MAR actions, objective trends, and discharge safety.</w:t>
      </w:r>
    </w:p>
    <w:p>
      <w:r>
        <w:rPr>
          <w:rFonts w:ascii="Arial" w:hAnsi="Arial"/>
          <w:b w:val="0"/>
          <w:i w:val="0"/>
          <w:color w:val="232830"/>
          <w:sz w:val="19"/>
        </w:rPr>
        <w:t>Endocrinology vs Primary Team remains an interpretation friction. The future reviewer may consider steroid exposure and diabetes/steroid interaction, but this file does not prove adrenal insufficiency, finalize prednisone adherence, or make Endocrinology the hidden diagnosis authority.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SOURCE-OF-TRUTH SAFEGUARDS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This file may point to evidence channels but may not reorder them.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This file does not replace EW4, EW5, EW6, EW13, EW14, EW15, EW16, EW19, or EW22.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MAR action evidence shows inpatient administration and holds only.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EW22 is not a final medication reconciliation.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report is collateral evidence and does not override rheumatology prednisone authority.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PROHIBITED CONTENT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contain: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final medication list;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discharge prescription set;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restart algorithm;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steroid taper answer;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consultant winner;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final home regimen;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task prompt;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 expected output;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golden response;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grader guidance;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post-world clinical events.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CANDIDATE REVIEW NOTE</w:t>
      </w:r>
    </w:p>
    <w:p>
      <w:r>
        <w:rPr>
          <w:rFonts w:ascii="Arial" w:hAnsi="Arial"/>
          <w:b w:val="0"/>
          <w:i w:val="0"/>
          <w:color w:val="232830"/>
          <w:sz w:val="19"/>
        </w:rPr>
        <w:t>Candidate reviewers should verify that this file frames the medication reconciliation context while requiring use of the locked world files. It should not be usable as a standalone medication answer.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Clinical staff  |  Care Coordination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Discharge medication reconciliation request context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