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Care Coordination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/ Anchor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 / discharge anchor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Source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Clinical staff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Discharge summary drafting request context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rFonts w:ascii="Arial" w:hAnsi="Arial"/>
          <w:b/>
          <w:i w:val="0"/>
          <w:color w:val="1F3864"/>
          <w:sz w:val="28"/>
        </w:rPr>
        <w:t>DISCHARGE SUMMARY DRAFTING REQUEST CONTEXT</w:t>
      </w:r>
    </w:p>
    <w:p>
      <w:pPr>
        <w:spacing w:after="120"/>
      </w:pPr>
      <w:r>
        <w:rPr>
          <w:rFonts w:ascii="Arial" w:hAnsi="Arial"/>
          <w:b w:val="0"/>
          <w:i w:val="0"/>
          <w:color w:val="5E6670"/>
          <w:sz w:val="16"/>
        </w:rPr>
        <w:t>Author: Clinical staff  |  Department: Care Coordination  |  05/24/2026 / discharge anchor  | 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CONTEXT FRAMING</w:t>
      </w:r>
    </w:p>
    <w:p>
      <w:r>
        <w:rPr>
          <w:rFonts w:ascii="Arial" w:hAnsi="Arial"/>
          <w:b w:val="0"/>
          <w:i w:val="0"/>
          <w:color w:val="232830"/>
          <w:sz w:val="19"/>
        </w:rPr>
        <w:t>The attending/discharging service needs a future reviewer to synthesize the hospitalization accurately from the locked world files. The summary should eventually reflect the ED-to-inpatient course, initial sepsis framing, mixed physiology, medication and consultant chronology, functional/discharge-readiness evidence, family concerns, and unresolved caveats without over-trusting any single visible source.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REQUIRED WORLD-FILE SYNTHESIS</w:t>
      </w:r>
    </w:p>
    <w:p>
      <w:r>
        <w:rPr>
          <w:rFonts w:ascii="Arial" w:hAnsi="Arial"/>
          <w:b w:val="0"/>
          <w:i w:val="0"/>
          <w:color w:val="232830"/>
          <w:sz w:val="19"/>
        </w:rPr>
        <w:t>The future review must synthesize, at minimum: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Source family</w:t>
            </w:r>
          </w:p>
        </w:tc>
        <w:tc>
          <w:tcPr>
            <w:tcW w:type="dxa" w:w="3456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Locked file IDs</w:t>
            </w:r>
          </w:p>
        </w:tc>
        <w:tc>
          <w:tcPr>
            <w:tcW w:type="dxa" w:w="3456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Why review is required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ED and admission frame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EW1, EW2, EW3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Establish presentation, initial sepsis-oriented reasoning, baseline deviation, near-fall context, and admission problem list.</w:t>
            </w:r>
          </w:p>
        </w:tc>
      </w:tr>
      <w:tr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Baseline and chronic context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EW7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Preserve baseline function, cognition, chronic disease burden, outpatient medication context, and follow-up frame.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Hospitalist course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EW8, EW9, EW10, EW11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Reconstruct HD1-HD6 evolution without copy-forward anchoring or flattening unresolved issues.</w:t>
            </w:r>
          </w:p>
        </w:tc>
      </w:tr>
      <w:tr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Objective trends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EW12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Separate clinical improvement from remaining renal, hemodynamic, glucose, intake, and discharge-safety concerns.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Consultant chronology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EW14, EW15, EW16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Capture consultant timing and reasoning without making any consultant the final authority.</w:t>
            </w:r>
          </w:p>
        </w:tc>
      </w:tr>
      <w:tr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Functional and family evidence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EW17, EW18, EW19, EW20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Avoid missing buried functional/cognitive evidence and meaningful family baseline comparison.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Discharge-facing snapshot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EW22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Reconcile the visible plan with the broader chart rather than treating it as a complete discharge summary.</w:t>
            </w:r>
          </w:p>
        </w:tc>
      </w:tr>
    </w:tbl>
    <w:p>
      <w:pPr>
        <w:spacing w:after="0"/>
      </w:pP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SUMMARY-SCOPE FRAME</w:t>
      </w:r>
    </w:p>
    <w:p>
      <w:r>
        <w:rPr>
          <w:rFonts w:ascii="Arial" w:hAnsi="Arial"/>
          <w:b w:val="0"/>
          <w:i w:val="0"/>
          <w:color w:val="232830"/>
          <w:sz w:val="19"/>
        </w:rPr>
        <w:t>The future discharge-summary work should be oriented to: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presentation and reason for admission;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initial suspected urinary-source sepsis frame as clinically reasonable;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hospital course by evolution, not merely by copied problem list;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renal/HF medication and consultant sequencing uncertainty;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prednisone-source ambiguity and endocrine risk interpretation without hidden-diagnosis drift;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functional/cognitive status and discharge-readiness uncertainty;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family concerns as meaningful but not independently dispositive;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follow-up and unresolved issues evident in locked world files.</w:t>
      </w:r>
    </w:p>
    <w:p>
      <w:r>
        <w:rPr>
          <w:rFonts w:ascii="Arial" w:hAnsi="Arial"/>
          <w:b w:val="0"/>
          <w:i w:val="0"/>
          <w:color w:val="232830"/>
          <w:sz w:val="19"/>
        </w:rPr>
        <w:t>This file does not draft the summary and does not specify final wording.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TRAP PRESERVATION</w:t>
      </w:r>
    </w:p>
    <w:p>
      <w:r>
        <w:rPr>
          <w:rFonts w:ascii="Arial" w:hAnsi="Arial"/>
          <w:b w:val="0"/>
          <w:i w:val="0"/>
          <w:color w:val="232830"/>
          <w:sz w:val="19"/>
        </w:rPr>
        <w:t>Trap #4 is primary for this context. The future reviewer must not write the hospitalization as if sepsis was either the entire answer or a false lead. Early sepsis-oriented management was reasonable, while later persistent issues required reassessment.</w:t>
      </w:r>
    </w:p>
    <w:p>
      <w:r>
        <w:rPr>
          <w:rFonts w:ascii="Arial" w:hAnsi="Arial"/>
          <w:b w:val="0"/>
          <w:i w:val="0"/>
          <w:color w:val="232830"/>
          <w:sz w:val="19"/>
        </w:rPr>
        <w:t>Trap #2 is secondary because the summary must accurately represent medication holds, reassessments, consultant tensions, and uncertainty without implying a final medication answer.</w:t>
      </w:r>
    </w:p>
    <w:p>
      <w:r>
        <w:rPr>
          <w:rFonts w:ascii="Arial" w:hAnsi="Arial"/>
          <w:b w:val="0"/>
          <w:i w:val="0"/>
          <w:color w:val="232830"/>
          <w:sz w:val="19"/>
        </w:rPr>
        <w:t>Trap #5 is active because EW22 is visible and organized but incomplete; it cannot substitute for the full chart.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FRICTION PRESERVATION</w:t>
      </w:r>
    </w:p>
    <w:p>
      <w:r>
        <w:rPr>
          <w:rFonts w:ascii="Arial" w:hAnsi="Arial"/>
          <w:b w:val="0"/>
          <w:i w:val="0"/>
          <w:color w:val="232830"/>
          <w:sz w:val="19"/>
        </w:rPr>
        <w:t>Endocrinology vs Primary Team is secondary. A future summary may need to mention steroid-risk interpretation and prednisone uncertainty, but it must not prove adrenal insufficiency or make endocrinology the final explanation for admission.</w:t>
      </w:r>
    </w:p>
    <w:p>
      <w:r>
        <w:rPr>
          <w:rFonts w:ascii="Arial" w:hAnsi="Arial"/>
          <w:b w:val="0"/>
          <w:i w:val="0"/>
          <w:color w:val="232830"/>
          <w:sz w:val="19"/>
        </w:rPr>
        <w:t>Family vs Primary Team is secondary. Family concerns should be visible in the future summary only through accurate synthesis of baseline deviation, functional evidence, and discharge planning context; they must not make the primary team careless or make discharge obviously unsafe by themselves.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SOURCE-OF-TRUTH SAFEGUARDS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Attending/hospitalist documentation carries inpatient synthesis but must be reconciled with consultants, trends, functional sources, family report, and discharge-facing sources.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Consultant notes are interpretation sources, not final disposition or medication-plan authorities.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Functional/cognitive evidence may live outside physician summaries.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EW22 is a planning snapshot and not a completed discharge summary.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PROHIBITED CONTENT</w:t>
      </w:r>
    </w:p>
    <w:p>
      <w:r>
        <w:rPr>
          <w:rFonts w:ascii="Arial" w:hAnsi="Arial"/>
          <w:b w:val="0"/>
          <w:i w:val="0"/>
          <w:color w:val="232830"/>
          <w:sz w:val="19"/>
        </w:rPr>
        <w:t>This file does not contain: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an actual discharge summary;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final diagnoses beyond locked facts;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hidden diagnosis reveal;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complete hospital-course answer;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final medication plan;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final disposition decision;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task prompt;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an expected output;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golden response;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grader guidance;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post-discharge outcomes.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CANDIDATE REVIEW NOTE</w:t>
      </w:r>
    </w:p>
    <w:p>
      <w:r>
        <w:rPr>
          <w:rFonts w:ascii="Arial" w:hAnsi="Arial"/>
          <w:b w:val="0"/>
          <w:i w:val="0"/>
          <w:color w:val="232830"/>
          <w:sz w:val="19"/>
        </w:rPr>
        <w:t>Candidate reviewers should verify that this file asks for accurate synthesis while preserving sepsis anchoring risk, source hierarchy, consultant defensibility, functional evidence, and EW22 incompleteness.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Clinical staff  |  Care Coordination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Discharge summary drafting request context  |  Synthetic training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  |  DOB 02/18/1964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