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Endocrinology</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 / Anchor</w:t>
              <w:br/>
            </w:r>
            <w:r>
              <w:rPr>
                <w:rFonts w:ascii="Arial" w:hAnsi="Arial"/>
                <w:b w:val="0"/>
                <w:i w:val="0"/>
                <w:color w:val="232830"/>
                <w:sz w:val="16"/>
              </w:rPr>
              <w:t>HD2-HD6, strongest HD4-HD6</w:t>
            </w:r>
          </w:p>
        </w:tc>
        <w:tc>
          <w:tcPr>
            <w:tcW w:type="dxa" w:w="2592"/>
            <w:shd w:val="clear" w:fill="EDF2FA"/>
          </w:tcPr>
          <w:p>
            <w:r>
              <w:rPr>
                <w:rFonts w:ascii="Arial" w:hAnsi="Arial"/>
                <w:b/>
                <w:i w:val="0"/>
                <w:color w:val="5E6670"/>
                <w:sz w:val="14"/>
              </w:rPr>
              <w:t>Source</w:t>
              <w:br/>
            </w:r>
            <w:r>
              <w:rPr>
                <w:rFonts w:ascii="Arial" w:hAnsi="Arial"/>
                <w:b w:val="0"/>
                <w:i w:val="0"/>
                <w:color w:val="232830"/>
                <w:sz w:val="16"/>
              </w:rPr>
              <w:t>Dr. Nerea Veylorn / Endocrinology</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Endocrinology consultation documentation</w:t>
            </w:r>
          </w:p>
        </w:tc>
      </w:tr>
    </w:tbl>
    <w:p>
      <w:pPr>
        <w:spacing w:after="0"/>
      </w:pPr>
    </w:p>
    <w:p>
      <w:pPr>
        <w:spacing w:after="20"/>
      </w:pPr>
      <w:r>
        <w:rPr>
          <w:rFonts w:ascii="Arial" w:hAnsi="Arial"/>
          <w:b/>
          <w:i w:val="0"/>
          <w:color w:val="1F3864"/>
          <w:sz w:val="28"/>
        </w:rPr>
        <w:t>ENDOCRINOLOGY CONSULTATION DOCUMENTATION</w:t>
      </w:r>
    </w:p>
    <w:p>
      <w:pPr>
        <w:spacing w:after="120"/>
      </w:pPr>
      <w:r>
        <w:rPr>
          <w:rFonts w:ascii="Arial" w:hAnsi="Arial"/>
          <w:b w:val="0"/>
          <w:i w:val="0"/>
          <w:color w:val="5E6670"/>
          <w:sz w:val="16"/>
        </w:rPr>
        <w:t>Author: Dr. Nerea Veylorn / Endocrinology  |  Department: Endocrinology  |  HD2-HD6, strongest HD4-HD6  |  Status: Signed</w:t>
      </w:r>
    </w:p>
    <w:p>
      <w:pPr>
        <w:spacing w:before="180" w:after="60"/>
        <w:pBdr>
          <w:bottom w:val="single" w:sz="6" w:color="C9D4EA" w:space="2"/>
        </w:pBdr>
      </w:pPr>
      <w:r>
        <w:rPr>
          <w:rFonts w:ascii="Arial" w:hAnsi="Arial"/>
          <w:b/>
          <w:i w:val="0"/>
          <w:color w:val="4472C4"/>
          <w:sz w:val="20"/>
        </w:rPr>
        <w:t>ENDOCRINOLOGY CONSULTATION DOCUMENTATION</w:t>
      </w:r>
    </w:p>
    <w:p>
      <w:r>
        <w:rPr>
          <w:rFonts w:ascii="Arial" w:hAnsi="Arial"/>
          <w:b w:val="0"/>
          <w:i w:val="0"/>
          <w:color w:val="232830"/>
          <w:sz w:val="19"/>
        </w:rPr>
        <w:t>Patient: Korvin Merrow</w:t>
      </w:r>
    </w:p>
    <w:p>
      <w:r>
        <w:rPr>
          <w:rFonts w:ascii="Arial" w:hAnsi="Arial"/>
          <w:b w:val="0"/>
          <w:i w:val="0"/>
          <w:color w:val="232830"/>
          <w:sz w:val="19"/>
        </w:rPr>
        <w:t>Consultant: Dr. Nerea Veylorn</w:t>
      </w:r>
    </w:p>
    <w:p>
      <w:r>
        <w:rPr>
          <w:rFonts w:ascii="Arial" w:hAnsi="Arial"/>
          <w:b w:val="0"/>
          <w:i w:val="0"/>
          <w:color w:val="232830"/>
          <w:sz w:val="19"/>
        </w:rPr>
        <w:t>Service: Endocrinology</w:t>
      </w:r>
    </w:p>
    <w:p>
      <w:r>
        <w:rPr>
          <w:rFonts w:ascii="Arial" w:hAnsi="Arial"/>
          <w:b w:val="0"/>
          <w:i w:val="0"/>
          <w:color w:val="232830"/>
          <w:sz w:val="19"/>
        </w:rPr>
        <w:t>Consult window: HD4-HD6 active review, with source context from earlier hospitalization</w:t>
      </w:r>
    </w:p>
    <w:p>
      <w:r>
        <w:rPr>
          <w:rFonts w:ascii="Arial" w:hAnsi="Arial"/>
          <w:b w:val="0"/>
          <w:i w:val="0"/>
          <w:color w:val="232830"/>
          <w:sz w:val="19"/>
        </w:rPr>
        <w:t>Reason for consultation: chronic prednisone exposure for PMR with unclear recent taper/adherence, persistent weakness and low-reserve symptoms during recovery from suspected infection physiology, and inpatient diabetes/steroid interaction.</w:t>
      </w:r>
    </w:p>
    <w:p>
      <w:pPr>
        <w:spacing w:before="180" w:after="60"/>
        <w:pBdr>
          <w:bottom w:val="single" w:sz="6" w:color="C9D4EA" w:space="2"/>
        </w:pBdr>
      </w:pPr>
      <w:r>
        <w:rPr>
          <w:rFonts w:ascii="Arial" w:hAnsi="Arial"/>
          <w:b/>
          <w:i w:val="0"/>
          <w:color w:val="4472C4"/>
          <w:sz w:val="20"/>
        </w:rPr>
        <w:t>CONSULTATION CONTEXT - HD4 / 05/21/2026</w:t>
      </w:r>
    </w:p>
    <w:p>
      <w:r>
        <w:rPr>
          <w:rFonts w:ascii="Arial" w:hAnsi="Arial"/>
          <w:b w:val="0"/>
          <w:i w:val="0"/>
          <w:color w:val="232830"/>
          <w:sz w:val="19"/>
        </w:rPr>
        <w:t>Endocrinology was asked to review steroid-related risk after the inpatient team identified inconsistent prednisone sources and outpatient rheumatology provenance became available by HD4.</w:t>
      </w:r>
    </w:p>
    <w:p>
      <w:r>
        <w:rPr>
          <w:rFonts w:ascii="Arial" w:hAnsi="Arial"/>
          <w:b w:val="0"/>
          <w:i w:val="0"/>
          <w:color w:val="232830"/>
          <w:sz w:val="19"/>
        </w:rPr>
        <w:t>The current clinical picture is mixed physiology. Suspected infection, poor intake, AKI-on-CKD, medication burden, diabetic neuropathy, deconditioning, and steroid exposure may all contribute to the presentation and recovery pattern.</w:t>
      </w:r>
    </w:p>
    <w:p>
      <w:r>
        <w:rPr>
          <w:rFonts w:ascii="Arial" w:hAnsi="Arial"/>
          <w:b w:val="0"/>
          <w:i w:val="0"/>
          <w:color w:val="232830"/>
          <w:sz w:val="19"/>
        </w:rPr>
        <w:t>Endocrinology does not interpret the case as proven adrenal insufficiency.</w:t>
      </w:r>
    </w:p>
    <w:p>
      <w:r>
        <w:rPr>
          <w:rFonts w:ascii="Arial" w:hAnsi="Arial"/>
          <w:b w:val="0"/>
          <w:i w:val="0"/>
          <w:color w:val="232830"/>
          <w:sz w:val="19"/>
        </w:rPr>
        <w:t>Endocrinology does interpret the steroid history as clinically important enough that abrupt dismissal or abrupt cessation would be unsafe.</w:t>
      </w:r>
    </w:p>
    <w:p>
      <w:pPr>
        <w:spacing w:before="180" w:after="60"/>
        <w:pBdr>
          <w:bottom w:val="single" w:sz="6" w:color="C9D4EA" w:space="2"/>
        </w:pBdr>
      </w:pPr>
      <w:r>
        <w:rPr>
          <w:rFonts w:ascii="Arial" w:hAnsi="Arial"/>
          <w:b/>
          <w:i w:val="0"/>
          <w:color w:val="4472C4"/>
          <w:sz w:val="20"/>
        </w:rPr>
        <w:t>PREDNISONE SOURCE REVIEW</w:t>
      </w:r>
    </w:p>
    <w:p>
      <w:r>
        <w:rPr>
          <w:rFonts w:ascii="Arial" w:hAnsi="Arial"/>
          <w:b w:val="0"/>
          <w:i w:val="0"/>
          <w:color w:val="232830"/>
          <w:sz w:val="19"/>
        </w:rPr>
        <w:t>Prednisone source hierarchy should be applied as follows:</w:t>
      </w:r>
    </w:p>
    <w:p>
      <w:r>
        <w:rPr>
          <w:rFonts w:ascii="Arial" w:hAnsi="Arial"/>
          <w:b w:val="0"/>
          <w:i w:val="0"/>
          <w:color w:val="232830"/>
          <w:sz w:val="19"/>
        </w:rPr>
        <w:t>1. Outpatient rheumatology attending documentation is the highest-authority source for intended PMR taper plan.</w:t>
      </w:r>
    </w:p>
    <w:p>
      <w:r>
        <w:rPr>
          <w:rFonts w:ascii="Arial" w:hAnsi="Arial"/>
          <w:b w:val="0"/>
          <w:i w:val="0"/>
          <w:color w:val="232830"/>
          <w:sz w:val="19"/>
        </w:rPr>
        <w:t>2. Verified medication reconciliation is important for what was reported or found at admission.</w:t>
      </w:r>
    </w:p>
    <w:p>
      <w:r>
        <w:rPr>
          <w:rFonts w:ascii="Arial" w:hAnsi="Arial"/>
          <w:b w:val="0"/>
          <w:i w:val="0"/>
          <w:color w:val="232830"/>
          <w:sz w:val="19"/>
        </w:rPr>
        <w:t>3. Pharmacy/refill history supports chronic and recent prednisone availability but does not prove actual use.</w:t>
      </w:r>
    </w:p>
    <w:p>
      <w:r>
        <w:rPr>
          <w:rFonts w:ascii="Arial" w:hAnsi="Arial"/>
          <w:b w:val="0"/>
          <w:i w:val="0"/>
          <w:color w:val="232830"/>
          <w:sz w:val="19"/>
        </w:rPr>
        <w:t>4. Family report is relevant for home behavior and medication-management concerns but does not outrank rheumatology intent.</w:t>
      </w:r>
    </w:p>
    <w:p>
      <w:r>
        <w:rPr>
          <w:rFonts w:ascii="Arial" w:hAnsi="Arial"/>
          <w:b w:val="0"/>
          <w:i w:val="0"/>
          <w:color w:val="232830"/>
          <w:sz w:val="19"/>
        </w:rPr>
        <w:t>5. Patient recollection is clinically relevant but least reliable for taper details in this admission.</w:t>
      </w:r>
    </w:p>
    <w:p>
      <w:r>
        <w:rPr>
          <w:rFonts w:ascii="Arial" w:hAnsi="Arial"/>
          <w:b w:val="0"/>
          <w:i w:val="0"/>
          <w:color w:val="232830"/>
          <w:sz w:val="19"/>
        </w:rPr>
        <w:t>Current source interpretation:</w:t>
      </w:r>
    </w:p>
    <w:p>
      <w:pPr>
        <w:pStyle w:val="ListBullet"/>
        <w:spacing w:after="30"/>
      </w:pPr>
      <w:r>
        <w:rPr>
          <w:rFonts w:ascii="Arial" w:hAnsi="Arial"/>
          <w:b w:val="0"/>
          <w:i w:val="0"/>
          <w:color w:val="232830"/>
          <w:sz w:val="19"/>
        </w:rPr>
        <w:t>EW6 supports chronic prednisone exposure and intended cautious taper rather than abrupt cessation.</w:t>
      </w:r>
    </w:p>
    <w:p>
      <w:pPr>
        <w:pStyle w:val="ListBullet"/>
        <w:spacing w:after="30"/>
      </w:pPr>
      <w:r>
        <w:rPr>
          <w:rFonts w:ascii="Arial" w:hAnsi="Arial"/>
          <w:b w:val="0"/>
          <w:i w:val="0"/>
          <w:color w:val="232830"/>
          <w:sz w:val="19"/>
        </w:rPr>
        <w:t>EW4 documents uncertainty in patient/family report and bottle interpretation.</w:t>
      </w:r>
    </w:p>
    <w:p>
      <w:pPr>
        <w:pStyle w:val="ListBullet"/>
        <w:spacing w:after="30"/>
      </w:pPr>
      <w:r>
        <w:rPr>
          <w:rFonts w:ascii="Arial" w:hAnsi="Arial"/>
          <w:b w:val="0"/>
          <w:i w:val="0"/>
          <w:color w:val="232830"/>
          <w:sz w:val="19"/>
        </w:rPr>
        <w:t>EW5 supports recent availability and changing directions but does not prove adherence.</w:t>
      </w:r>
    </w:p>
    <w:p>
      <w:pPr>
        <w:pStyle w:val="ListBullet"/>
        <w:spacing w:after="30"/>
      </w:pPr>
      <w:r>
        <w:rPr>
          <w:rFonts w:ascii="Arial" w:hAnsi="Arial"/>
          <w:b w:val="0"/>
          <w:i w:val="0"/>
          <w:color w:val="232830"/>
          <w:sz w:val="19"/>
        </w:rPr>
        <w:t>EW13 shows inpatient steroid actions but does not prove what Korvin took before admission.</w:t>
      </w:r>
    </w:p>
    <w:p>
      <w:r>
        <w:rPr>
          <w:rFonts w:ascii="Arial" w:hAnsi="Arial"/>
          <w:b w:val="0"/>
          <w:i w:val="0"/>
          <w:color w:val="232830"/>
          <w:sz w:val="19"/>
        </w:rPr>
        <w:t>The exact pre-admission exposure and adherence pattern remains imperfectly reconstructed.</w:t>
      </w:r>
    </w:p>
    <w:p>
      <w:pPr>
        <w:spacing w:before="180" w:after="60"/>
        <w:pBdr>
          <w:bottom w:val="single" w:sz="6" w:color="C9D4EA" w:space="2"/>
        </w:pBdr>
      </w:pPr>
      <w:r>
        <w:rPr>
          <w:rFonts w:ascii="Arial" w:hAnsi="Arial"/>
          <w:b/>
          <w:i w:val="0"/>
          <w:color w:val="4472C4"/>
          <w:sz w:val="20"/>
        </w:rPr>
        <w:t>ENDOCRINE RISK INTERPRETATION</w:t>
      </w:r>
    </w:p>
    <w:p>
      <w:r>
        <w:rPr>
          <w:rFonts w:ascii="Arial" w:hAnsi="Arial"/>
          <w:b w:val="0"/>
          <w:i w:val="0"/>
          <w:color w:val="232830"/>
          <w:sz w:val="19"/>
        </w:rPr>
        <w:t>Korvin's chronic steroid exposure and unclear taper history create plausible adrenal-suppression risk. Symptoms such as weakness, poor intake, lightheadedness, and low-reserve hemodynamics overlap with adrenal physiology.</w:t>
      </w:r>
    </w:p>
    <w:p>
      <w:r>
        <w:rPr>
          <w:rFonts w:ascii="Arial" w:hAnsi="Arial"/>
          <w:b w:val="0"/>
          <w:i w:val="0"/>
          <w:color w:val="232830"/>
          <w:sz w:val="19"/>
        </w:rPr>
        <w:t>However, these symptoms also overlap with:</w:t>
      </w:r>
    </w:p>
    <w:p>
      <w:pPr>
        <w:pStyle w:val="ListBullet"/>
        <w:spacing w:after="30"/>
      </w:pPr>
      <w:r>
        <w:rPr>
          <w:rFonts w:ascii="Arial" w:hAnsi="Arial"/>
          <w:b w:val="0"/>
          <w:i w:val="0"/>
          <w:color w:val="232830"/>
          <w:sz w:val="19"/>
        </w:rPr>
        <w:t>suspected infection and recovery;</w:t>
      </w:r>
    </w:p>
    <w:p>
      <w:pPr>
        <w:pStyle w:val="ListBullet"/>
        <w:spacing w:after="30"/>
      </w:pPr>
      <w:r>
        <w:rPr>
          <w:rFonts w:ascii="Arial" w:hAnsi="Arial"/>
          <w:b w:val="0"/>
          <w:i w:val="0"/>
          <w:color w:val="232830"/>
          <w:sz w:val="19"/>
        </w:rPr>
        <w:t>dehydration and AKI-on-CKD;</w:t>
      </w:r>
    </w:p>
    <w:p>
      <w:pPr>
        <w:pStyle w:val="ListBullet"/>
        <w:spacing w:after="30"/>
      </w:pPr>
      <w:r>
        <w:rPr>
          <w:rFonts w:ascii="Arial" w:hAnsi="Arial"/>
          <w:b w:val="0"/>
          <w:i w:val="0"/>
          <w:color w:val="232830"/>
          <w:sz w:val="19"/>
        </w:rPr>
        <w:t>HFrEF/CKD medication effects;</w:t>
      </w:r>
    </w:p>
    <w:p>
      <w:pPr>
        <w:pStyle w:val="ListBullet"/>
        <w:spacing w:after="30"/>
      </w:pPr>
      <w:r>
        <w:rPr>
          <w:rFonts w:ascii="Arial" w:hAnsi="Arial"/>
          <w:b w:val="0"/>
          <w:i w:val="0"/>
          <w:color w:val="232830"/>
          <w:sz w:val="19"/>
        </w:rPr>
        <w:t>diabetic neuropathy and deconditioning;</w:t>
      </w:r>
    </w:p>
    <w:p>
      <w:pPr>
        <w:pStyle w:val="ListBullet"/>
        <w:spacing w:after="30"/>
      </w:pPr>
      <w:r>
        <w:rPr>
          <w:rFonts w:ascii="Arial" w:hAnsi="Arial"/>
          <w:b w:val="0"/>
          <w:i w:val="0"/>
          <w:color w:val="232830"/>
          <w:sz w:val="19"/>
        </w:rPr>
        <w:t>poor oral intake;</w:t>
      </w:r>
    </w:p>
    <w:p>
      <w:pPr>
        <w:pStyle w:val="ListBullet"/>
        <w:spacing w:after="30"/>
      </w:pPr>
      <w:r>
        <w:rPr>
          <w:rFonts w:ascii="Arial" w:hAnsi="Arial"/>
          <w:b w:val="0"/>
          <w:i w:val="0"/>
          <w:color w:val="232830"/>
          <w:sz w:val="19"/>
        </w:rPr>
        <w:t>hospitalization-related functional decline.</w:t>
      </w:r>
    </w:p>
    <w:p>
      <w:r>
        <w:rPr>
          <w:rFonts w:ascii="Arial" w:hAnsi="Arial"/>
          <w:b w:val="0"/>
          <w:i w:val="0"/>
          <w:color w:val="232830"/>
          <w:sz w:val="19"/>
        </w:rPr>
        <w:t>Endocrinology's concern is not that adrenal insufficiency explains everything. The concern is that steroid exposure should be incorporated into risk assessment, inpatient steroid handling, and discharge planning rather than treated as irrelevant once infection markers improve.</w:t>
      </w:r>
    </w:p>
    <w:p>
      <w:pPr>
        <w:spacing w:before="180" w:after="60"/>
        <w:pBdr>
          <w:bottom w:val="single" w:sz="6" w:color="C9D4EA" w:space="2"/>
        </w:pBdr>
      </w:pPr>
      <w:r>
        <w:rPr>
          <w:rFonts w:ascii="Arial" w:hAnsi="Arial"/>
          <w:b/>
          <w:i w:val="0"/>
          <w:color w:val="4472C4"/>
          <w:sz w:val="20"/>
        </w:rPr>
        <w:t>INPATIENT STEROID RECOMMENDATION FRAME</w:t>
      </w:r>
    </w:p>
    <w:p>
      <w:r>
        <w:rPr>
          <w:rFonts w:ascii="Arial" w:hAnsi="Arial"/>
          <w:b w:val="0"/>
          <w:i w:val="0"/>
          <w:color w:val="232830"/>
          <w:sz w:val="19"/>
        </w:rPr>
        <w:t>Recommended endocrine approach before world close:</w:t>
      </w:r>
    </w:p>
    <w:p>
      <w:pPr>
        <w:pStyle w:val="ListBullet"/>
        <w:spacing w:after="30"/>
      </w:pPr>
      <w:r>
        <w:rPr>
          <w:rFonts w:ascii="Arial" w:hAnsi="Arial"/>
          <w:b w:val="0"/>
          <w:i w:val="0"/>
          <w:color w:val="232830"/>
          <w:sz w:val="19"/>
        </w:rPr>
        <w:t>avoid abrupt prednisone discontinuation while source reconstruction remains incomplete;</w:t>
      </w:r>
    </w:p>
    <w:p>
      <w:pPr>
        <w:pStyle w:val="ListBullet"/>
        <w:spacing w:after="30"/>
      </w:pPr>
      <w:r>
        <w:rPr>
          <w:rFonts w:ascii="Arial" w:hAnsi="Arial"/>
          <w:b w:val="0"/>
          <w:i w:val="0"/>
          <w:color w:val="232830"/>
          <w:sz w:val="19"/>
        </w:rPr>
        <w:t>use rheumatology intent as the highest-authority outpatient taper source;</w:t>
      </w:r>
    </w:p>
    <w:p>
      <w:pPr>
        <w:pStyle w:val="ListBullet"/>
        <w:spacing w:after="30"/>
      </w:pPr>
      <w:r>
        <w:rPr>
          <w:rFonts w:ascii="Arial" w:hAnsi="Arial"/>
          <w:b w:val="0"/>
          <w:i w:val="0"/>
          <w:color w:val="232830"/>
          <w:sz w:val="19"/>
        </w:rPr>
        <w:t>interpret medication reconciliation, pharmacy history, family report, and patient recollection as supporting but lower-authority sources;</w:t>
      </w:r>
    </w:p>
    <w:p>
      <w:pPr>
        <w:pStyle w:val="ListBullet"/>
        <w:spacing w:after="30"/>
      </w:pPr>
      <w:r>
        <w:rPr>
          <w:rFonts w:ascii="Arial" w:hAnsi="Arial"/>
          <w:b w:val="0"/>
          <w:i w:val="0"/>
          <w:color w:val="232830"/>
          <w:sz w:val="19"/>
        </w:rPr>
        <w:t>continue an interim inpatient steroid approach that avoids sudden withdrawal while not declaring a final outpatient taper;</w:t>
      </w:r>
    </w:p>
    <w:p>
      <w:pPr>
        <w:pStyle w:val="ListBullet"/>
        <w:spacing w:after="30"/>
      </w:pPr>
      <w:r>
        <w:rPr>
          <w:rFonts w:ascii="Arial" w:hAnsi="Arial"/>
          <w:b w:val="0"/>
          <w:i w:val="0"/>
          <w:color w:val="232830"/>
          <w:sz w:val="19"/>
        </w:rPr>
        <w:t>reassess clinical status in context of infection recovery, renal trend, hemodynamics, oral intake, glucose pattern, and functional status;</w:t>
      </w:r>
    </w:p>
    <w:p>
      <w:pPr>
        <w:pStyle w:val="ListBullet"/>
        <w:spacing w:after="30"/>
      </w:pPr>
      <w:r>
        <w:rPr>
          <w:rFonts w:ascii="Arial" w:hAnsi="Arial"/>
          <w:b w:val="0"/>
          <w:i w:val="0"/>
          <w:color w:val="232830"/>
          <w:sz w:val="19"/>
        </w:rPr>
        <w:t>avoid documenting adrenal insufficiency as proven unless objective clinical evaluation supports it.</w:t>
      </w:r>
    </w:p>
    <w:p>
      <w:r>
        <w:rPr>
          <w:rFonts w:ascii="Arial" w:hAnsi="Arial"/>
          <w:b w:val="0"/>
          <w:i w:val="0"/>
          <w:color w:val="232830"/>
          <w:sz w:val="19"/>
        </w:rPr>
        <w:t>This frame is not a final taper plan and not a discharge steroid plan.</w:t>
      </w:r>
    </w:p>
    <w:p>
      <w:pPr>
        <w:spacing w:before="180" w:after="60"/>
        <w:pBdr>
          <w:bottom w:val="single" w:sz="6" w:color="C9D4EA" w:space="2"/>
        </w:pBdr>
      </w:pPr>
      <w:r>
        <w:rPr>
          <w:rFonts w:ascii="Arial" w:hAnsi="Arial"/>
          <w:b/>
          <w:i w:val="0"/>
          <w:color w:val="4472C4"/>
          <w:sz w:val="20"/>
        </w:rPr>
        <w:t>DIABETES / STEROID INTERACTION</w:t>
      </w:r>
    </w:p>
    <w:p>
      <w:r>
        <w:rPr>
          <w:rFonts w:ascii="Arial" w:hAnsi="Arial"/>
          <w:b w:val="0"/>
          <w:i w:val="0"/>
          <w:color w:val="232830"/>
          <w:sz w:val="19"/>
        </w:rPr>
        <w:t>EW12 shows glucose patterns generally above ideal inpatient targets during the stay. This is plausibly influenced by acute illness, variable intake, chronic diabetes, and inpatient steroid handling.</w:t>
      </w:r>
    </w:p>
    <w:p>
      <w:r>
        <w:rPr>
          <w:rFonts w:ascii="Arial" w:hAnsi="Arial"/>
          <w:b w:val="0"/>
          <w:i w:val="0"/>
          <w:color w:val="232830"/>
          <w:sz w:val="19"/>
        </w:rPr>
        <w:t>EW13 shows basal insulin continued with inpatient adjustment/monitoring and insulin lispro used only as inpatient correctional coverage. Endocrinology agrees insulin lispro should remain inpatient-only unless separately established as an outpatient medication.</w:t>
      </w:r>
    </w:p>
    <w:p>
      <w:r>
        <w:rPr>
          <w:rFonts w:ascii="Arial" w:hAnsi="Arial"/>
          <w:b w:val="0"/>
          <w:i w:val="0"/>
          <w:color w:val="232830"/>
          <w:sz w:val="19"/>
        </w:rPr>
        <w:t>Diabetes interpretation:</w:t>
      </w:r>
    </w:p>
    <w:p>
      <w:pPr>
        <w:pStyle w:val="ListBullet"/>
        <w:spacing w:after="30"/>
      </w:pPr>
      <w:r>
        <w:rPr>
          <w:rFonts w:ascii="Arial" w:hAnsi="Arial"/>
          <w:b w:val="0"/>
          <w:i w:val="0"/>
          <w:color w:val="232830"/>
          <w:sz w:val="19"/>
        </w:rPr>
        <w:t>poor intake and AKI make outpatient diabetes medication restart timing clinically important;</w:t>
      </w:r>
    </w:p>
    <w:p>
      <w:pPr>
        <w:pStyle w:val="ListBullet"/>
        <w:spacing w:after="30"/>
      </w:pPr>
      <w:r>
        <w:rPr>
          <w:rFonts w:ascii="Arial" w:hAnsi="Arial"/>
          <w:b w:val="0"/>
          <w:i w:val="0"/>
          <w:color w:val="232830"/>
          <w:sz w:val="19"/>
        </w:rPr>
        <w:t>steroid exposure may worsen glycemic variability;</w:t>
      </w:r>
    </w:p>
    <w:p>
      <w:pPr>
        <w:pStyle w:val="ListBullet"/>
        <w:spacing w:after="30"/>
      </w:pPr>
      <w:r>
        <w:rPr>
          <w:rFonts w:ascii="Arial" w:hAnsi="Arial"/>
          <w:b w:val="0"/>
          <w:i w:val="0"/>
          <w:color w:val="232830"/>
          <w:sz w:val="19"/>
        </w:rPr>
        <w:t>glycemic management should not be reduced to steroid attribution alone;</w:t>
      </w:r>
    </w:p>
    <w:p>
      <w:pPr>
        <w:pStyle w:val="ListBullet"/>
        <w:spacing w:after="30"/>
      </w:pPr>
      <w:r>
        <w:rPr>
          <w:rFonts w:ascii="Arial" w:hAnsi="Arial"/>
          <w:b w:val="0"/>
          <w:i w:val="0"/>
          <w:color w:val="232830"/>
          <w:sz w:val="19"/>
        </w:rPr>
        <w:t>discharge medication planning must avoid treating inpatient correctional insulin as a baseline outpatient medication.</w:t>
      </w:r>
    </w:p>
    <w:p>
      <w:pPr>
        <w:spacing w:before="180" w:after="60"/>
        <w:pBdr>
          <w:bottom w:val="single" w:sz="6" w:color="C9D4EA" w:space="2"/>
        </w:pBdr>
      </w:pPr>
      <w:r>
        <w:rPr>
          <w:rFonts w:ascii="Arial" w:hAnsi="Arial"/>
          <w:b/>
          <w:i w:val="0"/>
          <w:color w:val="4472C4"/>
          <w:sz w:val="20"/>
        </w:rPr>
        <w:t>HD5-HD6 PRE-CLOSE ADDENDUM - 05/22/2026-05/23/2026 BEFORE 18:00</w:t>
      </w:r>
    </w:p>
    <w:p>
      <w:r>
        <w:rPr>
          <w:rFonts w:ascii="Arial" w:hAnsi="Arial"/>
          <w:b w:val="0"/>
          <w:i w:val="0"/>
          <w:color w:val="232830"/>
          <w:sz w:val="19"/>
        </w:rPr>
        <w:t>Korvin is clinically improved compared with admission. Infection-oriented therapy, supportive care, intake, and renal/hemodynamic trends have improved. This supports the primary team's position that steroid physiology should not become the single hidden diagnosis.</w:t>
      </w:r>
    </w:p>
    <w:p>
      <w:r>
        <w:rPr>
          <w:rFonts w:ascii="Arial" w:hAnsi="Arial"/>
          <w:b w:val="0"/>
          <w:i w:val="0"/>
          <w:color w:val="232830"/>
          <w:sz w:val="19"/>
        </w:rPr>
        <w:t>Endocrinology's concern remains defensible because:</w:t>
      </w:r>
    </w:p>
    <w:p>
      <w:pPr>
        <w:pStyle w:val="ListBullet"/>
        <w:spacing w:after="30"/>
      </w:pPr>
      <w:r>
        <w:rPr>
          <w:rFonts w:ascii="Arial" w:hAnsi="Arial"/>
          <w:b w:val="0"/>
          <w:i w:val="0"/>
          <w:color w:val="232830"/>
          <w:sz w:val="19"/>
        </w:rPr>
        <w:t>chronic prednisone exposure is documented;</w:t>
      </w:r>
    </w:p>
    <w:p>
      <w:pPr>
        <w:pStyle w:val="ListBullet"/>
        <w:spacing w:after="30"/>
      </w:pPr>
      <w:r>
        <w:rPr>
          <w:rFonts w:ascii="Arial" w:hAnsi="Arial"/>
          <w:b w:val="0"/>
          <w:i w:val="0"/>
          <w:color w:val="232830"/>
          <w:sz w:val="19"/>
        </w:rPr>
        <w:t>rheumatology intended a cautious taper, not abrupt cessation;</w:t>
      </w:r>
    </w:p>
    <w:p>
      <w:pPr>
        <w:pStyle w:val="ListBullet"/>
        <w:spacing w:after="30"/>
      </w:pPr>
      <w:r>
        <w:rPr>
          <w:rFonts w:ascii="Arial" w:hAnsi="Arial"/>
          <w:b w:val="0"/>
          <w:i w:val="0"/>
          <w:color w:val="232830"/>
          <w:sz w:val="19"/>
        </w:rPr>
        <w:t>actual pre-admission adherence remains uncertain;</w:t>
      </w:r>
    </w:p>
    <w:p>
      <w:pPr>
        <w:pStyle w:val="ListBullet"/>
        <w:spacing w:after="30"/>
      </w:pPr>
      <w:r>
        <w:rPr>
          <w:rFonts w:ascii="Arial" w:hAnsi="Arial"/>
          <w:b w:val="0"/>
          <w:i w:val="0"/>
          <w:color w:val="232830"/>
          <w:sz w:val="19"/>
        </w:rPr>
        <w:t>persistent weakness and low-reserve symptoms overlap with adrenal/steroid risk;</w:t>
      </w:r>
    </w:p>
    <w:p>
      <w:pPr>
        <w:pStyle w:val="ListBullet"/>
        <w:spacing w:after="30"/>
      </w:pPr>
      <w:r>
        <w:rPr>
          <w:rFonts w:ascii="Arial" w:hAnsi="Arial"/>
          <w:b w:val="0"/>
          <w:i w:val="0"/>
          <w:color w:val="232830"/>
          <w:sz w:val="19"/>
        </w:rPr>
        <w:t>discharge planning will be vulnerable if steroid instructions are vague or source hierarchy is not applied.</w:t>
      </w:r>
    </w:p>
    <w:p>
      <w:r>
        <w:rPr>
          <w:rFonts w:ascii="Arial" w:hAnsi="Arial"/>
          <w:b w:val="0"/>
          <w:i w:val="0"/>
          <w:color w:val="232830"/>
          <w:sz w:val="19"/>
        </w:rPr>
        <w:t>Endocrinology recommends that the hospitalist team synthesize steroid-source hierarchy with the full clinical course. Endocrinology does not recommend using the endocrine note alone to determine discharge readiness, final medication reconciliation, or final prednisone taper.</w:t>
      </w:r>
    </w:p>
    <w:p>
      <w:pPr>
        <w:spacing w:before="180" w:after="60"/>
        <w:pBdr>
          <w:bottom w:val="single" w:sz="6" w:color="C9D4EA" w:space="2"/>
        </w:pBdr>
      </w:pPr>
      <w:r>
        <w:rPr>
          <w:rFonts w:ascii="Arial" w:hAnsi="Arial"/>
          <w:b/>
          <w:i w:val="0"/>
          <w:color w:val="4472C4"/>
          <w:sz w:val="20"/>
        </w:rPr>
        <w:t>RELATIONSHIP TO PRIMARY TEAM</w:t>
      </w:r>
    </w:p>
    <w:p>
      <w:r>
        <w:rPr>
          <w:rFonts w:ascii="Arial" w:hAnsi="Arial"/>
          <w:b w:val="0"/>
          <w:i w:val="0"/>
          <w:color w:val="232830"/>
          <w:sz w:val="19"/>
        </w:rPr>
        <w:t>The primary team's caution is reasonable. Korvin improved with infection-oriented treatment and supportive care, so steroid physiology should not be over-attributed.</w:t>
      </w:r>
    </w:p>
    <w:p>
      <w:r>
        <w:rPr>
          <w:rFonts w:ascii="Arial" w:hAnsi="Arial"/>
          <w:b w:val="0"/>
          <w:i w:val="0"/>
          <w:color w:val="232830"/>
          <w:sz w:val="19"/>
        </w:rPr>
        <w:t>Endocrinology's caution is also reasonable. Chronic steroid exposure and uncertain taper/adherence remain clinically relevant even when infection improves.</w:t>
      </w:r>
    </w:p>
    <w:p>
      <w:r>
        <w:rPr>
          <w:rFonts w:ascii="Arial" w:hAnsi="Arial"/>
          <w:b w:val="0"/>
          <w:i w:val="0"/>
          <w:color w:val="232830"/>
          <w:sz w:val="19"/>
        </w:rPr>
        <w:t>The disagreement is about risk interpretation and safe handling of uncertainty, not about one source proving a hidden diagnosis.</w:t>
      </w:r>
    </w:p>
    <w:p>
      <w:pPr>
        <w:spacing w:before="180" w:after="60"/>
        <w:pBdr>
          <w:bottom w:val="single" w:sz="6" w:color="C9D4EA" w:space="2"/>
        </w:pBdr>
      </w:pPr>
      <w:r>
        <w:rPr>
          <w:rFonts w:ascii="Arial" w:hAnsi="Arial"/>
          <w:b/>
          <w:i w:val="0"/>
          <w:color w:val="4472C4"/>
          <w:sz w:val="20"/>
        </w:rPr>
        <w:t>ASSESSMENT</w:t>
      </w:r>
    </w:p>
    <w:p>
      <w:r>
        <w:rPr>
          <w:rFonts w:ascii="Arial" w:hAnsi="Arial"/>
          <w:b w:val="0"/>
          <w:i w:val="0"/>
          <w:color w:val="232830"/>
          <w:sz w:val="19"/>
        </w:rPr>
        <w:t>Chronic prednisone exposure with unclear recent taper/adherence creates a clinically meaningful adrenal/steroid risk consideration. Adrenal insufficiency is not proven by this note, and steroid physiology does not explain the entire admission. Safe reasoning requires source hierarchy reconstruction and integration with infection, renal, hemodynamic, medication, diabetes, functional, and discharge-planning evidence.</w:t>
      </w:r>
    </w:p>
    <w:p>
      <w:pPr>
        <w:spacing w:before="180" w:after="60"/>
        <w:pBdr>
          <w:bottom w:val="single" w:sz="6" w:color="C9D4EA" w:space="2"/>
        </w:pBdr>
      </w:pPr>
      <w:r>
        <w:rPr>
          <w:rFonts w:ascii="Arial" w:hAnsi="Arial"/>
          <w:b/>
          <w:i w:val="0"/>
          <w:color w:val="4472C4"/>
          <w:sz w:val="20"/>
        </w:rPr>
        <w:t>GUARDRAILS</w:t>
      </w:r>
    </w:p>
    <w:p>
      <w:r>
        <w:rPr>
          <w:rFonts w:ascii="Arial" w:hAnsi="Arial"/>
          <w:b w:val="0"/>
          <w:i w:val="0"/>
          <w:color w:val="232830"/>
          <w:sz w:val="19"/>
        </w:rPr>
        <w:t>This endocrinology file is a consultant interpretation. It is not a discharge summary, final prednisone taper, proof of adrenal insufficiency, final diabetes discharge plan, final disposition decision, or answer file. It does not override rheumatology taper provenance, verified medication reconciliation, pharmacy history, family report, patient recollection, attending synthesis, objective trends, MAR evidence, or future discharge-facing sources.</w:t>
      </w:r>
    </w:p>
    <w:p>
      <w:pPr>
        <w:spacing w:before="200"/>
        <w:pBdr>
          <w:top w:val="single" w:sz="4" w:color="C9D4EA" w:space="4"/>
        </w:pBdr>
      </w:pPr>
      <w:r>
        <w:rPr>
          <w:rFonts w:ascii="Arial" w:hAnsi="Arial"/>
          <w:b w:val="0"/>
          <w:i/>
          <w:color w:val="5E6670"/>
          <w:sz w:val="18"/>
        </w:rPr>
        <w:t>Electronically signed by Dr. Nerea Veylorn / Endocrinology  |  Endocrinology</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Endocrinology consultation documentation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