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Medical Records</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05/18/2026 / HD1</w:t>
            </w:r>
          </w:p>
        </w:tc>
        <w:tc>
          <w:tcPr>
            <w:tcW w:type="dxa" w:w="2592"/>
            <w:shd w:val="clear" w:fill="EDF2FA"/>
          </w:tcPr>
          <w:p>
            <w:r>
              <w:rPr>
                <w:rFonts w:ascii="Arial" w:hAnsi="Arial"/>
                <w:b/>
                <w:i w:val="0"/>
                <w:color w:val="5E6670"/>
                <w:sz w:val="14"/>
              </w:rPr>
              <w:t>Source</w:t>
              <w:br/>
            </w:r>
            <w:r>
              <w:rPr>
                <w:rFonts w:ascii="Arial" w:hAnsi="Arial"/>
                <w:b w:val="0"/>
                <w:i w:val="0"/>
                <w:color w:val="232830"/>
                <w:sz w:val="16"/>
              </w:rPr>
              <w:t>Pharmacy / medication reconciliation pharmacist with patient and family collateral</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Initial medication reconciliation note</w:t>
            </w:r>
          </w:p>
        </w:tc>
      </w:tr>
    </w:tbl>
    <w:p>
      <w:pPr>
        <w:spacing w:after="0"/>
      </w:pPr>
    </w:p>
    <w:p>
      <w:pPr>
        <w:spacing w:after="20"/>
      </w:pPr>
      <w:r>
        <w:rPr>
          <w:rFonts w:ascii="Arial" w:hAnsi="Arial"/>
          <w:b/>
          <w:i w:val="0"/>
          <w:color w:val="1F3864"/>
          <w:sz w:val="28"/>
        </w:rPr>
        <w:t>INITIAL MEDICATION RECONCILIATION NOTE</w:t>
      </w:r>
    </w:p>
    <w:p>
      <w:pPr>
        <w:spacing w:after="120"/>
      </w:pPr>
      <w:r>
        <w:rPr>
          <w:rFonts w:ascii="Arial" w:hAnsi="Arial"/>
          <w:b w:val="0"/>
          <w:i w:val="0"/>
          <w:color w:val="5E6670"/>
          <w:sz w:val="16"/>
        </w:rPr>
        <w:t>Author: Pharmacy / medication reconciliation pharmacist with patient and family collateral  |  Department: Medical Records  |  05/18/2026 / HD1  |  Status: Signed</w:t>
      </w:r>
    </w:p>
    <w:p>
      <w:pPr>
        <w:spacing w:before="180" w:after="60"/>
        <w:pBdr>
          <w:bottom w:val="single" w:sz="6" w:color="C9D4EA" w:space="2"/>
        </w:pBdr>
      </w:pPr>
      <w:r>
        <w:rPr>
          <w:rFonts w:ascii="Arial" w:hAnsi="Arial"/>
          <w:b/>
          <w:i w:val="0"/>
          <w:color w:val="4472C4"/>
          <w:sz w:val="20"/>
        </w:rPr>
        <w:t>INITIAL MEDICATION RECONCILIATION</w:t>
      </w:r>
    </w:p>
    <w:p>
      <w:r>
        <w:rPr>
          <w:rFonts w:ascii="Arial" w:hAnsi="Arial"/>
          <w:b w:val="0"/>
          <w:i w:val="0"/>
          <w:color w:val="232830"/>
          <w:sz w:val="19"/>
        </w:rPr>
        <w:t>Date: 05/18/2026</w:t>
      </w:r>
    </w:p>
    <w:p>
      <w:r>
        <w:rPr>
          <w:rFonts w:ascii="Arial" w:hAnsi="Arial"/>
          <w:b w:val="0"/>
          <w:i w:val="0"/>
          <w:color w:val="232830"/>
          <w:sz w:val="19"/>
        </w:rPr>
        <w:t>Source: Pharmacy / medication reconciliation pharmacist</w:t>
      </w:r>
    </w:p>
    <w:p>
      <w:r>
        <w:rPr>
          <w:rFonts w:ascii="Arial" w:hAnsi="Arial"/>
          <w:b w:val="0"/>
          <w:i w:val="0"/>
          <w:color w:val="232830"/>
          <w:sz w:val="19"/>
        </w:rPr>
        <w:t>Patient: Korvin Merrow</w:t>
      </w:r>
    </w:p>
    <w:p>
      <w:r>
        <w:rPr>
          <w:rFonts w:ascii="Arial" w:hAnsi="Arial"/>
          <w:b w:val="0"/>
          <w:i w:val="0"/>
          <w:color w:val="232830"/>
          <w:sz w:val="19"/>
        </w:rPr>
        <w:t>Collateral: patient interview, Mara Merrow, medication bag brought from home, partial electronic medication list available at admission.</w:t>
      </w:r>
    </w:p>
    <w:p>
      <w:r>
        <w:rPr>
          <w:rFonts w:ascii="Arial" w:hAnsi="Arial"/>
          <w:b w:val="0"/>
          <w:i w:val="0"/>
          <w:color w:val="232830"/>
          <w:sz w:val="19"/>
        </w:rPr>
        <w:t>Status: initial reconciliation, not final discharge reconciliation.</w:t>
      </w:r>
    </w:p>
    <w:p>
      <w:pPr>
        <w:spacing w:before="180" w:after="60"/>
        <w:pBdr>
          <w:bottom w:val="single" w:sz="6" w:color="C9D4EA" w:space="2"/>
        </w:pBdr>
      </w:pPr>
      <w:r>
        <w:rPr>
          <w:rFonts w:ascii="Arial" w:hAnsi="Arial"/>
          <w:b/>
          <w:i w:val="0"/>
          <w:color w:val="4472C4"/>
          <w:sz w:val="20"/>
        </w:rPr>
        <w:t>SOURCE RELIABILITY</w:t>
      </w:r>
    </w:p>
    <w:p>
      <w:r>
        <w:rPr>
          <w:rFonts w:ascii="Arial" w:hAnsi="Arial"/>
          <w:b w:val="0"/>
          <w:i w:val="0"/>
          <w:color w:val="232830"/>
          <w:sz w:val="19"/>
        </w:rPr>
        <w:t>Medication history reliability is limited.</w:t>
      </w:r>
    </w:p>
    <w:p>
      <w:r>
        <w:rPr>
          <w:rFonts w:ascii="Arial" w:hAnsi="Arial"/>
          <w:b w:val="0"/>
          <w:i w:val="0"/>
          <w:color w:val="232830"/>
          <w:sz w:val="19"/>
        </w:rPr>
        <w:t>Factors affecting reliability:</w:t>
      </w:r>
    </w:p>
    <w:p>
      <w:pPr>
        <w:pStyle w:val="ListBullet"/>
        <w:spacing w:after="30"/>
      </w:pPr>
      <w:r>
        <w:rPr>
          <w:rFonts w:ascii="Arial" w:hAnsi="Arial"/>
          <w:b w:val="0"/>
          <w:i w:val="0"/>
          <w:color w:val="232830"/>
          <w:sz w:val="19"/>
        </w:rPr>
        <w:t>Patient is tired and slow to answer.</w:t>
      </w:r>
    </w:p>
    <w:p>
      <w:pPr>
        <w:pStyle w:val="ListBullet"/>
        <w:spacing w:after="30"/>
      </w:pPr>
      <w:r>
        <w:rPr>
          <w:rFonts w:ascii="Arial" w:hAnsi="Arial"/>
          <w:b w:val="0"/>
          <w:i w:val="0"/>
          <w:color w:val="232830"/>
          <w:sz w:val="19"/>
        </w:rPr>
        <w:t>Patient is uncertain about several recent doses.</w:t>
      </w:r>
    </w:p>
    <w:p>
      <w:pPr>
        <w:pStyle w:val="ListBullet"/>
        <w:spacing w:after="30"/>
      </w:pPr>
      <w:r>
        <w:rPr>
          <w:rFonts w:ascii="Arial" w:hAnsi="Arial"/>
          <w:b w:val="0"/>
          <w:i w:val="0"/>
          <w:color w:val="232830"/>
          <w:sz w:val="19"/>
        </w:rPr>
        <w:t>Family reports recent medication-management mistakes during poor intake and weakness.</w:t>
      </w:r>
    </w:p>
    <w:p>
      <w:pPr>
        <w:pStyle w:val="ListBullet"/>
        <w:spacing w:after="30"/>
      </w:pPr>
      <w:r>
        <w:rPr>
          <w:rFonts w:ascii="Arial" w:hAnsi="Arial"/>
          <w:b w:val="0"/>
          <w:i w:val="0"/>
          <w:color w:val="232830"/>
          <w:sz w:val="19"/>
        </w:rPr>
        <w:t>Medication bag may not contain all active bottles.</w:t>
      </w:r>
    </w:p>
    <w:p>
      <w:pPr>
        <w:pStyle w:val="ListBullet"/>
        <w:spacing w:after="30"/>
      </w:pPr>
      <w:r>
        <w:rPr>
          <w:rFonts w:ascii="Arial" w:hAnsi="Arial"/>
          <w:b w:val="0"/>
          <w:i w:val="0"/>
          <w:color w:val="232830"/>
          <w:sz w:val="19"/>
        </w:rPr>
        <w:t>Some medication labels appear older or copied from prior instructions.</w:t>
      </w:r>
    </w:p>
    <w:p>
      <w:pPr>
        <w:pStyle w:val="ListBullet"/>
        <w:spacing w:after="30"/>
      </w:pPr>
      <w:r>
        <w:rPr>
          <w:rFonts w:ascii="Arial" w:hAnsi="Arial"/>
          <w:b w:val="0"/>
          <w:i w:val="0"/>
          <w:color w:val="232830"/>
          <w:sz w:val="19"/>
        </w:rPr>
        <w:t>Prednisone bottle instructions and patient report do not fully align.</w:t>
      </w:r>
    </w:p>
    <w:p>
      <w:pPr>
        <w:spacing w:before="180" w:after="60"/>
        <w:pBdr>
          <w:bottom w:val="single" w:sz="6" w:color="C9D4EA" w:space="2"/>
        </w:pBdr>
      </w:pPr>
      <w:r>
        <w:rPr>
          <w:rFonts w:ascii="Arial" w:hAnsi="Arial"/>
          <w:b/>
          <w:i w:val="0"/>
          <w:color w:val="4472C4"/>
          <w:sz w:val="20"/>
        </w:rPr>
        <w:t>REPORTED / FOUND MEDICATION ARCHITECTURE</w:t>
      </w:r>
    </w:p>
    <w:p>
      <w:r>
        <w:rPr>
          <w:rFonts w:ascii="Arial" w:hAnsi="Arial"/>
          <w:b w:val="0"/>
          <w:i w:val="0"/>
          <w:color w:val="232830"/>
          <w:sz w:val="19"/>
        </w:rPr>
        <w:t>The following medication items are reported, found in the medication bag, or present on the electronic list. This note does not determine which medications should be continued, held, restarted, or discontinued during hospitalization.</w:t>
      </w:r>
    </w:p>
    <w:p>
      <w:r>
        <w:rPr>
          <w:rFonts w:ascii="Arial" w:hAnsi="Arial"/>
          <w:b w:val="0"/>
          <w:i w:val="0"/>
          <w:color w:val="232830"/>
          <w:sz w:val="19"/>
        </w:rPr>
        <w:t>Cardiovascular / HFrEF / CAD:</w:t>
      </w:r>
    </w:p>
    <w:p>
      <w:pPr>
        <w:pStyle w:val="ListBullet"/>
        <w:spacing w:after="30"/>
      </w:pPr>
      <w:r>
        <w:rPr>
          <w:rFonts w:ascii="Arial" w:hAnsi="Arial"/>
          <w:b w:val="0"/>
          <w:i w:val="0"/>
          <w:color w:val="232830"/>
          <w:sz w:val="19"/>
        </w:rPr>
        <w:t>Sacubitril/valsartan.</w:t>
      </w:r>
    </w:p>
    <w:p>
      <w:pPr>
        <w:pStyle w:val="ListBullet"/>
        <w:spacing w:after="30"/>
      </w:pPr>
      <w:r>
        <w:rPr>
          <w:rFonts w:ascii="Arial" w:hAnsi="Arial"/>
          <w:b w:val="0"/>
          <w:i w:val="0"/>
          <w:color w:val="232830"/>
          <w:sz w:val="19"/>
        </w:rPr>
        <w:t>Carvedilol.</w:t>
      </w:r>
    </w:p>
    <w:p>
      <w:pPr>
        <w:pStyle w:val="ListBullet"/>
        <w:spacing w:after="30"/>
      </w:pPr>
      <w:r>
        <w:rPr>
          <w:rFonts w:ascii="Arial" w:hAnsi="Arial"/>
          <w:b w:val="0"/>
          <w:i w:val="0"/>
          <w:color w:val="232830"/>
          <w:sz w:val="19"/>
        </w:rPr>
        <w:t>Furosemide.</w:t>
      </w:r>
    </w:p>
    <w:p>
      <w:pPr>
        <w:pStyle w:val="ListBullet"/>
        <w:spacing w:after="30"/>
      </w:pPr>
      <w:r>
        <w:rPr>
          <w:rFonts w:ascii="Arial" w:hAnsi="Arial"/>
          <w:b w:val="0"/>
          <w:i w:val="0"/>
          <w:color w:val="232830"/>
          <w:sz w:val="19"/>
        </w:rPr>
        <w:t>Spironolactone.</w:t>
      </w:r>
    </w:p>
    <w:p>
      <w:pPr>
        <w:pStyle w:val="ListBullet"/>
        <w:spacing w:after="30"/>
      </w:pPr>
      <w:r>
        <w:rPr>
          <w:rFonts w:ascii="Arial" w:hAnsi="Arial"/>
          <w:b w:val="0"/>
          <w:i w:val="0"/>
          <w:color w:val="232830"/>
          <w:sz w:val="19"/>
        </w:rPr>
        <w:t>Empagliflozin.</w:t>
      </w:r>
    </w:p>
    <w:p>
      <w:pPr>
        <w:pStyle w:val="ListBullet"/>
        <w:spacing w:after="30"/>
      </w:pPr>
      <w:r>
        <w:rPr>
          <w:rFonts w:ascii="Arial" w:hAnsi="Arial"/>
          <w:b w:val="0"/>
          <w:i w:val="0"/>
          <w:color w:val="232830"/>
          <w:sz w:val="19"/>
        </w:rPr>
        <w:t>Aspirin.</w:t>
      </w:r>
    </w:p>
    <w:p>
      <w:pPr>
        <w:pStyle w:val="ListBullet"/>
        <w:spacing w:after="30"/>
      </w:pPr>
      <w:r>
        <w:rPr>
          <w:rFonts w:ascii="Arial" w:hAnsi="Arial"/>
          <w:b w:val="0"/>
          <w:i w:val="0"/>
          <w:color w:val="232830"/>
          <w:sz w:val="19"/>
        </w:rPr>
        <w:t>Atorvastatin.</w:t>
      </w:r>
    </w:p>
    <w:p>
      <w:pPr>
        <w:pStyle w:val="ListBullet"/>
        <w:spacing w:after="30"/>
      </w:pPr>
      <w:r>
        <w:rPr>
          <w:rFonts w:ascii="Arial" w:hAnsi="Arial"/>
          <w:b w:val="0"/>
          <w:i w:val="0"/>
          <w:color w:val="232830"/>
          <w:sz w:val="19"/>
        </w:rPr>
        <w:t>Nitroglycerin rescue medication.</w:t>
      </w:r>
    </w:p>
    <w:p>
      <w:r>
        <w:rPr>
          <w:rFonts w:ascii="Arial" w:hAnsi="Arial"/>
          <w:b w:val="0"/>
          <w:i w:val="0"/>
          <w:color w:val="232830"/>
          <w:sz w:val="19"/>
        </w:rPr>
        <w:t>Diabetes:</w:t>
      </w:r>
    </w:p>
    <w:p>
      <w:pPr>
        <w:pStyle w:val="ListBullet"/>
        <w:spacing w:after="30"/>
      </w:pPr>
      <w:r>
        <w:rPr>
          <w:rFonts w:ascii="Arial" w:hAnsi="Arial"/>
          <w:b w:val="0"/>
          <w:i w:val="0"/>
          <w:color w:val="232830"/>
          <w:sz w:val="19"/>
        </w:rPr>
        <w:t>Metformin ER.</w:t>
      </w:r>
    </w:p>
    <w:p>
      <w:pPr>
        <w:pStyle w:val="ListBullet"/>
        <w:spacing w:after="30"/>
      </w:pPr>
      <w:r>
        <w:rPr>
          <w:rFonts w:ascii="Arial" w:hAnsi="Arial"/>
          <w:b w:val="0"/>
          <w:i w:val="0"/>
          <w:color w:val="232830"/>
          <w:sz w:val="19"/>
        </w:rPr>
        <w:t>Insulin glargine.</w:t>
      </w:r>
    </w:p>
    <w:p>
      <w:r>
        <w:rPr>
          <w:rFonts w:ascii="Arial" w:hAnsi="Arial"/>
          <w:b w:val="0"/>
          <w:i w:val="0"/>
          <w:color w:val="232830"/>
          <w:sz w:val="19"/>
        </w:rPr>
        <w:t>Steroid / PMR:</w:t>
      </w:r>
    </w:p>
    <w:p>
      <w:pPr>
        <w:pStyle w:val="ListBullet"/>
        <w:spacing w:after="30"/>
      </w:pPr>
      <w:r>
        <w:rPr>
          <w:rFonts w:ascii="Arial" w:hAnsi="Arial"/>
          <w:b w:val="0"/>
          <w:i w:val="0"/>
          <w:color w:val="232830"/>
          <w:sz w:val="19"/>
        </w:rPr>
        <w:t>Prednisone, current taper status unclear.</w:t>
      </w:r>
    </w:p>
    <w:p>
      <w:r>
        <w:rPr>
          <w:rFonts w:ascii="Arial" w:hAnsi="Arial"/>
          <w:b w:val="0"/>
          <w:i w:val="0"/>
          <w:color w:val="232830"/>
          <w:sz w:val="19"/>
        </w:rPr>
        <w:t>Neuropathy / pain:</w:t>
      </w:r>
    </w:p>
    <w:p>
      <w:pPr>
        <w:pStyle w:val="ListBullet"/>
        <w:spacing w:after="30"/>
      </w:pPr>
      <w:r>
        <w:rPr>
          <w:rFonts w:ascii="Arial" w:hAnsi="Arial"/>
          <w:b w:val="0"/>
          <w:i w:val="0"/>
          <w:color w:val="232830"/>
          <w:sz w:val="19"/>
        </w:rPr>
        <w:t>Gabapentin.</w:t>
      </w:r>
    </w:p>
    <w:p>
      <w:pPr>
        <w:pStyle w:val="ListBullet"/>
        <w:spacing w:after="30"/>
      </w:pPr>
      <w:r>
        <w:rPr>
          <w:rFonts w:ascii="Arial" w:hAnsi="Arial"/>
          <w:b w:val="0"/>
          <w:i w:val="0"/>
          <w:color w:val="232830"/>
          <w:sz w:val="19"/>
        </w:rPr>
        <w:t>Acetaminophen.</w:t>
      </w:r>
    </w:p>
    <w:p>
      <w:r>
        <w:rPr>
          <w:rFonts w:ascii="Arial" w:hAnsi="Arial"/>
          <w:b w:val="0"/>
          <w:i w:val="0"/>
          <w:color w:val="232830"/>
          <w:sz w:val="19"/>
        </w:rPr>
        <w:t>GI / bowel regimen:</w:t>
      </w:r>
    </w:p>
    <w:p>
      <w:pPr>
        <w:pStyle w:val="ListBullet"/>
        <w:spacing w:after="30"/>
      </w:pPr>
      <w:r>
        <w:rPr>
          <w:rFonts w:ascii="Arial" w:hAnsi="Arial"/>
          <w:b w:val="0"/>
          <w:i w:val="0"/>
          <w:color w:val="232830"/>
          <w:sz w:val="19"/>
        </w:rPr>
        <w:t>Pantoprazole.</w:t>
      </w:r>
    </w:p>
    <w:p>
      <w:pPr>
        <w:pStyle w:val="ListBullet"/>
        <w:spacing w:after="30"/>
      </w:pPr>
      <w:r>
        <w:rPr>
          <w:rFonts w:ascii="Arial" w:hAnsi="Arial"/>
          <w:b w:val="0"/>
          <w:i w:val="0"/>
          <w:color w:val="232830"/>
          <w:sz w:val="19"/>
        </w:rPr>
        <w:t>Polyethylene glycol.</w:t>
      </w:r>
    </w:p>
    <w:p>
      <w:pPr>
        <w:pStyle w:val="ListBullet"/>
        <w:spacing w:after="30"/>
      </w:pPr>
      <w:r>
        <w:rPr>
          <w:rFonts w:ascii="Arial" w:hAnsi="Arial"/>
          <w:b w:val="0"/>
          <w:i w:val="0"/>
          <w:color w:val="232830"/>
          <w:sz w:val="19"/>
        </w:rPr>
        <w:t>Senna.</w:t>
      </w:r>
    </w:p>
    <w:p>
      <w:r>
        <w:rPr>
          <w:rFonts w:ascii="Arial" w:hAnsi="Arial"/>
          <w:b w:val="0"/>
          <w:i w:val="0"/>
          <w:color w:val="232830"/>
          <w:sz w:val="19"/>
        </w:rPr>
        <w:t>Anemia / bone health:</w:t>
      </w:r>
    </w:p>
    <w:p>
      <w:pPr>
        <w:pStyle w:val="ListBullet"/>
        <w:spacing w:after="30"/>
      </w:pPr>
      <w:r>
        <w:rPr>
          <w:rFonts w:ascii="Arial" w:hAnsi="Arial"/>
          <w:b w:val="0"/>
          <w:i w:val="0"/>
          <w:color w:val="232830"/>
          <w:sz w:val="19"/>
        </w:rPr>
        <w:t>Ferrous sulfate.</w:t>
      </w:r>
    </w:p>
    <w:p>
      <w:pPr>
        <w:pStyle w:val="ListBullet"/>
        <w:spacing w:after="30"/>
      </w:pPr>
      <w:r>
        <w:rPr>
          <w:rFonts w:ascii="Arial" w:hAnsi="Arial"/>
          <w:b w:val="0"/>
          <w:i w:val="0"/>
          <w:color w:val="232830"/>
          <w:sz w:val="19"/>
        </w:rPr>
        <w:t>Alendronate.</w:t>
      </w:r>
    </w:p>
    <w:p>
      <w:pPr>
        <w:pStyle w:val="ListBullet"/>
        <w:spacing w:after="30"/>
      </w:pPr>
      <w:r>
        <w:rPr>
          <w:rFonts w:ascii="Arial" w:hAnsi="Arial"/>
          <w:b w:val="0"/>
          <w:i w:val="0"/>
          <w:color w:val="232830"/>
          <w:sz w:val="19"/>
        </w:rPr>
        <w:t>Calcium carbonate / vitamin D combination.</w:t>
      </w:r>
    </w:p>
    <w:p>
      <w:pPr>
        <w:pStyle w:val="ListBullet"/>
        <w:spacing w:after="30"/>
      </w:pPr>
      <w:r>
        <w:rPr>
          <w:rFonts w:ascii="Arial" w:hAnsi="Arial"/>
          <w:b w:val="0"/>
          <w:i w:val="0"/>
          <w:color w:val="232830"/>
          <w:sz w:val="19"/>
        </w:rPr>
        <w:t>Cholecalciferol.</w:t>
      </w:r>
    </w:p>
    <w:p>
      <w:pPr>
        <w:spacing w:before="180" w:after="60"/>
        <w:pBdr>
          <w:bottom w:val="single" w:sz="6" w:color="C9D4EA" w:space="2"/>
        </w:pBdr>
      </w:pPr>
      <w:r>
        <w:rPr>
          <w:rFonts w:ascii="Arial" w:hAnsi="Arial"/>
          <w:b/>
          <w:i w:val="0"/>
          <w:color w:val="4472C4"/>
          <w:sz w:val="20"/>
        </w:rPr>
        <w:t>PREDNISONE-SPECIFIC RECONCILIATION NOTES</w:t>
      </w:r>
    </w:p>
    <w:p>
      <w:r>
        <w:rPr>
          <w:rFonts w:ascii="Arial" w:hAnsi="Arial"/>
          <w:b w:val="0"/>
          <w:i w:val="0"/>
          <w:color w:val="232830"/>
          <w:sz w:val="19"/>
        </w:rPr>
        <w:t>Prednisone history is not verified by this note.</w:t>
      </w:r>
    </w:p>
    <w:p>
      <w:r>
        <w:rPr>
          <w:rFonts w:ascii="Arial" w:hAnsi="Arial"/>
          <w:b w:val="0"/>
          <w:i w:val="0"/>
          <w:color w:val="232830"/>
          <w:sz w:val="19"/>
        </w:rPr>
        <w:t>Patient report:</w:t>
      </w:r>
    </w:p>
    <w:p>
      <w:pPr>
        <w:pStyle w:val="ListBullet"/>
        <w:spacing w:after="30"/>
      </w:pPr>
      <w:r>
        <w:rPr>
          <w:rFonts w:ascii="Arial" w:hAnsi="Arial"/>
          <w:b w:val="0"/>
          <w:i w:val="0"/>
          <w:color w:val="232830"/>
          <w:sz w:val="19"/>
        </w:rPr>
        <w:t>Patient states he has been on prednisone "for my PMR."</w:t>
      </w:r>
    </w:p>
    <w:p>
      <w:pPr>
        <w:pStyle w:val="ListBullet"/>
        <w:spacing w:after="30"/>
      </w:pPr>
      <w:r>
        <w:rPr>
          <w:rFonts w:ascii="Arial" w:hAnsi="Arial"/>
          <w:b w:val="0"/>
          <w:i w:val="0"/>
          <w:color w:val="232830"/>
          <w:sz w:val="19"/>
        </w:rPr>
        <w:t>He reports the dose was being tapered but cannot name the current dose with confidence.</w:t>
      </w:r>
    </w:p>
    <w:p>
      <w:pPr>
        <w:pStyle w:val="ListBullet"/>
        <w:spacing w:after="30"/>
      </w:pPr>
      <w:r>
        <w:rPr>
          <w:rFonts w:ascii="Arial" w:hAnsi="Arial"/>
          <w:b w:val="0"/>
          <w:i w:val="0"/>
          <w:color w:val="232830"/>
          <w:sz w:val="19"/>
        </w:rPr>
        <w:t>He first states he may still be taking it daily, then later says he may have skipped doses because he thought he was "almost done."</w:t>
      </w:r>
    </w:p>
    <w:p>
      <w:r>
        <w:rPr>
          <w:rFonts w:ascii="Arial" w:hAnsi="Arial"/>
          <w:b w:val="0"/>
          <w:i w:val="0"/>
          <w:color w:val="232830"/>
          <w:sz w:val="19"/>
        </w:rPr>
        <w:t>Family report:</w:t>
      </w:r>
    </w:p>
    <w:p>
      <w:pPr>
        <w:pStyle w:val="ListBullet"/>
        <w:spacing w:after="30"/>
      </w:pPr>
      <w:r>
        <w:rPr>
          <w:rFonts w:ascii="Arial" w:hAnsi="Arial"/>
          <w:b w:val="0"/>
          <w:i w:val="0"/>
          <w:color w:val="232830"/>
          <w:sz w:val="19"/>
        </w:rPr>
        <w:t>Mara Merrow reports the family understood rheumatology was tapering prednisone because symptoms had been controlled.</w:t>
      </w:r>
    </w:p>
    <w:p>
      <w:pPr>
        <w:pStyle w:val="ListBullet"/>
        <w:spacing w:after="30"/>
      </w:pPr>
      <w:r>
        <w:rPr>
          <w:rFonts w:ascii="Arial" w:hAnsi="Arial"/>
          <w:b w:val="0"/>
          <w:i w:val="0"/>
          <w:color w:val="232830"/>
          <w:sz w:val="19"/>
        </w:rPr>
        <w:t>She is not sure whether Korvin followed the taper correctly during the last 1-2 weeks.</w:t>
      </w:r>
    </w:p>
    <w:p>
      <w:pPr>
        <w:pStyle w:val="ListBullet"/>
        <w:spacing w:after="30"/>
      </w:pPr>
      <w:r>
        <w:rPr>
          <w:rFonts w:ascii="Arial" w:hAnsi="Arial"/>
          <w:b w:val="0"/>
          <w:i w:val="0"/>
          <w:color w:val="232830"/>
          <w:sz w:val="19"/>
        </w:rPr>
        <w:t>She recalls seeing more than one prednisone instruction on paperwork or bottle labels.</w:t>
      </w:r>
    </w:p>
    <w:p>
      <w:r>
        <w:rPr>
          <w:rFonts w:ascii="Arial" w:hAnsi="Arial"/>
          <w:b w:val="0"/>
          <w:i w:val="0"/>
          <w:color w:val="232830"/>
          <w:sz w:val="19"/>
        </w:rPr>
        <w:t>Medication bag:</w:t>
      </w:r>
    </w:p>
    <w:p>
      <w:pPr>
        <w:pStyle w:val="ListBullet"/>
        <w:spacing w:after="30"/>
      </w:pPr>
      <w:r>
        <w:rPr>
          <w:rFonts w:ascii="Arial" w:hAnsi="Arial"/>
          <w:b w:val="0"/>
          <w:i w:val="0"/>
          <w:color w:val="232830"/>
          <w:sz w:val="19"/>
        </w:rPr>
        <w:t>Prednisone bottle present.</w:t>
      </w:r>
    </w:p>
    <w:p>
      <w:pPr>
        <w:pStyle w:val="ListBullet"/>
        <w:spacing w:after="30"/>
      </w:pPr>
      <w:r>
        <w:rPr>
          <w:rFonts w:ascii="Arial" w:hAnsi="Arial"/>
          <w:b w:val="0"/>
          <w:i w:val="0"/>
          <w:color w:val="232830"/>
          <w:sz w:val="19"/>
        </w:rPr>
        <w:t>Label does not by itself confirm actual recent use.</w:t>
      </w:r>
    </w:p>
    <w:p>
      <w:pPr>
        <w:pStyle w:val="ListBullet"/>
        <w:spacing w:after="30"/>
      </w:pPr>
      <w:r>
        <w:rPr>
          <w:rFonts w:ascii="Arial" w:hAnsi="Arial"/>
          <w:b w:val="0"/>
          <w:i w:val="0"/>
          <w:color w:val="232830"/>
          <w:sz w:val="19"/>
        </w:rPr>
        <w:t>Pill count and patient use history are not reliable enough to determine adherence.</w:t>
      </w:r>
    </w:p>
    <w:p>
      <w:r>
        <w:rPr>
          <w:rFonts w:ascii="Arial" w:hAnsi="Arial"/>
          <w:b w:val="0"/>
          <w:i w:val="0"/>
          <w:color w:val="232830"/>
          <w:sz w:val="19"/>
        </w:rPr>
        <w:t>Pharmacy recommendation:</w:t>
      </w:r>
    </w:p>
    <w:p>
      <w:pPr>
        <w:pStyle w:val="ListBullet"/>
        <w:spacing w:after="30"/>
      </w:pPr>
      <w:r>
        <w:rPr>
          <w:rFonts w:ascii="Arial" w:hAnsi="Arial"/>
          <w:b w:val="0"/>
          <w:i w:val="0"/>
          <w:color w:val="232830"/>
          <w:sz w:val="19"/>
        </w:rPr>
        <w:t>Verify prednisone history against pharmacy/refill history and outpatient rheumatology documentation.</w:t>
      </w:r>
    </w:p>
    <w:p>
      <w:pPr>
        <w:pStyle w:val="ListBullet"/>
        <w:spacing w:after="30"/>
      </w:pPr>
      <w:r>
        <w:rPr>
          <w:rFonts w:ascii="Arial" w:hAnsi="Arial"/>
          <w:b w:val="0"/>
          <w:i w:val="0"/>
          <w:color w:val="232830"/>
          <w:sz w:val="19"/>
        </w:rPr>
        <w:t>Do not rely on patient recollection alone for steroid exposure or taper status.</w:t>
      </w:r>
    </w:p>
    <w:p>
      <w:pPr>
        <w:spacing w:before="180" w:after="60"/>
        <w:pBdr>
          <w:bottom w:val="single" w:sz="6" w:color="C9D4EA" w:space="2"/>
        </w:pBdr>
      </w:pPr>
      <w:r>
        <w:rPr>
          <w:rFonts w:ascii="Arial" w:hAnsi="Arial"/>
          <w:b/>
          <w:i w:val="0"/>
          <w:color w:val="4472C4"/>
          <w:sz w:val="20"/>
        </w:rPr>
        <w:t>ACUTE MEDICATION SAFETY NOTES</w:t>
      </w:r>
    </w:p>
    <w:p>
      <w:r>
        <w:rPr>
          <w:rFonts w:ascii="Arial" w:hAnsi="Arial"/>
          <w:b w:val="0"/>
          <w:i w:val="0"/>
          <w:color w:val="232830"/>
          <w:sz w:val="19"/>
        </w:rPr>
        <w:t>Several chronic medications may require acute-illness reassessment because of poor intake, AKI-on-CKD risk, borderline hemodynamic concern, and suspected infection physiology. This includes HFrEF/CAD medications, diabetes medications, diuretics, mineralocorticoid receptor antagonist therapy, SGLT2 inhibitor therapy, metformin, and sedating medications such as gabapentin.</w:t>
      </w:r>
    </w:p>
    <w:p>
      <w:r>
        <w:rPr>
          <w:rFonts w:ascii="Arial" w:hAnsi="Arial"/>
          <w:b w:val="0"/>
          <w:i w:val="0"/>
          <w:color w:val="232830"/>
          <w:sz w:val="19"/>
        </w:rPr>
        <w:t>This note does not create final medication recommendations and does not decide the discharge medication plan.</w:t>
      </w:r>
    </w:p>
    <w:p>
      <w:pPr>
        <w:spacing w:before="180" w:after="60"/>
        <w:pBdr>
          <w:bottom w:val="single" w:sz="6" w:color="C9D4EA" w:space="2"/>
        </w:pBdr>
      </w:pPr>
      <w:r>
        <w:rPr>
          <w:rFonts w:ascii="Arial" w:hAnsi="Arial"/>
          <w:b/>
          <w:i w:val="0"/>
          <w:color w:val="4472C4"/>
          <w:sz w:val="20"/>
        </w:rPr>
        <w:t>RECONCILIATION STATUS</w:t>
      </w:r>
    </w:p>
    <w:p>
      <w:r>
        <w:rPr>
          <w:rFonts w:ascii="Arial" w:hAnsi="Arial"/>
          <w:b w:val="0"/>
          <w:i w:val="0"/>
          <w:color w:val="232830"/>
          <w:sz w:val="19"/>
        </w:rPr>
        <w:t>Initial reconciliation status: incomplete / requires verification.</w:t>
      </w:r>
    </w:p>
    <w:p>
      <w:r>
        <w:rPr>
          <w:rFonts w:ascii="Arial" w:hAnsi="Arial"/>
          <w:b w:val="0"/>
          <w:i w:val="0"/>
          <w:color w:val="232830"/>
          <w:sz w:val="19"/>
        </w:rPr>
        <w:t>Highest-yield follow-up sources:</w:t>
      </w:r>
    </w:p>
    <w:p>
      <w:r>
        <w:rPr>
          <w:rFonts w:ascii="Arial" w:hAnsi="Arial"/>
          <w:b w:val="0"/>
          <w:i w:val="0"/>
          <w:color w:val="232830"/>
          <w:sz w:val="19"/>
        </w:rPr>
        <w:t>1. Pharmacy refill history.</w:t>
      </w:r>
    </w:p>
    <w:p>
      <w:r>
        <w:rPr>
          <w:rFonts w:ascii="Arial" w:hAnsi="Arial"/>
          <w:b w:val="0"/>
          <w:i w:val="0"/>
          <w:color w:val="232830"/>
          <w:sz w:val="19"/>
        </w:rPr>
        <w:t>2. Outpatient rheumatology documentation for prednisone plan.</w:t>
      </w:r>
    </w:p>
    <w:p>
      <w:r>
        <w:rPr>
          <w:rFonts w:ascii="Arial" w:hAnsi="Arial"/>
          <w:b w:val="0"/>
          <w:i w:val="0"/>
          <w:color w:val="232830"/>
          <w:sz w:val="19"/>
        </w:rPr>
        <w:t>3. Primary care documentation for baseline medication context.</w:t>
      </w:r>
    </w:p>
    <w:p>
      <w:r>
        <w:rPr>
          <w:rFonts w:ascii="Arial" w:hAnsi="Arial"/>
          <w:b w:val="0"/>
          <w:i w:val="0"/>
          <w:color w:val="232830"/>
          <w:sz w:val="19"/>
        </w:rPr>
        <w:t>4. Family collateral about actual home administration.</w:t>
      </w:r>
    </w:p>
    <w:p>
      <w:pPr>
        <w:spacing w:before="200"/>
        <w:pBdr>
          <w:top w:val="single" w:sz="4" w:color="C9D4EA" w:space="4"/>
        </w:pBdr>
      </w:pPr>
      <w:r>
        <w:rPr>
          <w:rFonts w:ascii="Arial" w:hAnsi="Arial"/>
          <w:b w:val="0"/>
          <w:i/>
          <w:color w:val="5E6670"/>
          <w:sz w:val="18"/>
        </w:rPr>
        <w:t>Electronically signed by Pharmacy / medication reconciliation pharmacist with patient and family collateral  |  Medical Records</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Initial medication reconciliation note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