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Facts Document — Korvin Merrow World</w:t>
      </w:r>
    </w:p>
    <w:p>
      <w:r>
        <w:rPr>
          <w:i/>
        </w:rPr>
        <w:t>Admin-facing summary of the synthetic clinical world used in Project Sanctum. This document is NOT part of the world's fictional artifacts; it is an out-of-fiction reference for reviewers, SPLs, and customers. Not graded by cert checkers and not subject to trap-preservation rules.</w:t>
      </w:r>
    </w:p>
    <w:p>
      <w:pPr>
        <w:pStyle w:val="Heading2"/>
      </w:pPr>
      <w:r>
        <w:t>1. World Identifier and Setting</w:t>
      </w:r>
    </w:p>
    <w:p>
      <w:r>
        <w:t>Title: Korvin Merrow World</w:t>
      </w:r>
    </w:p>
    <w:p>
      <w:r>
        <w:t>World number: RL Studio cyau8803</w:t>
      </w:r>
    </w:p>
    <w:p>
      <w:r>
        <w:t>World type: Typical Clinical World</w:t>
      </w:r>
    </w:p>
    <w:p>
      <w:r>
        <w:t>Project: Project Sanctum</w:t>
      </w:r>
    </w:p>
    <w:p>
      <w:r>
        <w:t>Version: latest 6/4</w:t>
      </w:r>
    </w:p>
    <w:p>
      <w:r>
        <w:t>Domain: Medical</w:t>
      </w:r>
    </w:p>
    <w:p>
      <w:r>
        <w:t>Clinical specialty: Hospital Medicine (acute inpatient hospitalization, medication reconciliation, consultant synthesis, discharge planning, transitions of care)</w:t>
      </w:r>
    </w:p>
    <w:p>
      <w:r>
        <w:t>Setting: ED presentation → acute inpatient hospitalization → discharge / transition of care</w:t>
      </w:r>
    </w:p>
    <w:p>
      <w:r>
        <w:t>Target application: openemr</w:t>
      </w:r>
    </w:p>
    <w:p>
      <w:r>
        <w:t>Expert reviewer: RL Studio cyau8803</w:t>
      </w:r>
    </w:p>
    <w:p>
      <w:r>
        <w:t>File counts: 22 essential world-level, 7 essential task-level, 4 supplementary — 33 unique deliverable .docx files in /filesystem/ supporting 6 tasks.</w:t>
      </w:r>
    </w:p>
    <w:p>
      <w:r>
        <w:t>World snapshot: HD6 / world close — 05/23/2026 at 18:00 (America/New_York). World-level files stop at or before this timestamp.</w:t>
      </w:r>
    </w:p>
    <w:p>
      <w:pPr>
        <w:pStyle w:val="Heading2"/>
      </w:pPr>
      <w:r>
        <w:t>2. Facility (Care Setting)</w:t>
      </w:r>
    </w:p>
    <w:p>
      <w:r>
        <w:t>Name: Mercy Vale Regional Medical Center</w:t>
      </w:r>
    </w:p>
    <w:p>
      <w:r>
        <w:t>Address: 5 Harbor Crest Way, Bridgehollow, PA 15211</w:t>
      </w:r>
    </w:p>
    <w:p>
      <w:r>
        <w:t>Main phone: (412) 555-0143  |  Fax: (412) 555-0144</w:t>
      </w:r>
    </w:p>
    <w:p>
      <w:r>
        <w:t>Emergency Department: (412) 555-0150  |  Pharmacy: (412) 555-0170</w:t>
      </w:r>
    </w:p>
    <w:p>
      <w:r>
        <w:t>Medical Records: (412) 555-0188  |  Care Management: (412) 555-0162</w:t>
      </w:r>
    </w:p>
    <w:p>
      <w:r>
        <w:t>Facility NPI: 1437295860  |  EIN: 47-3219085</w:t>
      </w:r>
    </w:p>
    <w:p>
      <w:r>
        <w:t>Departments represented in the chart: Emergency Department, Hospital Medicine (5 West Medical), Cardiology, Nephrology, Endocrinology, Pharmacy, Nursing, Clinical Data / Laboratory, Rehabilitation Services (PT/OT), Care Management, Social Work, Medical Records.</w:t>
      </w:r>
    </w:p>
    <w:p>
      <w:r>
        <w:t>External outpatient facilities also represented: Mercy Vale Primary Care — Harbor Crest Clinic; Riverbend Rheumatology Associates; Harbor Crest Community Pharmacy; Mercy Vale Sleep Center (historical OSA polysomnography).</w:t>
      </w:r>
    </w:p>
    <w:p>
      <w:pPr>
        <w:pStyle w:val="Heading2"/>
      </w:pPr>
      <w:r>
        <w:t>3. Patient and Family</w:t>
      </w:r>
    </w:p>
    <w:p>
      <w:pPr>
        <w:pStyle w:val="Heading3"/>
      </w:pPr>
      <w:r>
        <w:t>Patient</w:t>
      </w:r>
    </w:p>
    <w:p>
      <w:r>
        <w:t>Name: Korvin Merrow</w:t>
      </w:r>
    </w:p>
    <w:p>
      <w:r>
        <w:t>DOB: 02/18/1964  (62 y, Male)</w:t>
      </w:r>
    </w:p>
    <w:p>
      <w:r>
        <w:t>MRN: KM-6427819  |  FIN: KM-2026-051877</w:t>
      </w:r>
    </w:p>
    <w:p>
      <w:r>
        <w:t>Code status: Full Code (confirmed 05/18/2026)</w:t>
      </w:r>
    </w:p>
    <w:p>
      <w:r>
        <w:t>Home address: 1842 Larchmere Lane, Bridgehollow, PA 15214</w:t>
      </w:r>
    </w:p>
    <w:p>
      <w:r>
        <w:t>Phone: (412) 555-0227 home  |  (412) 555-0228 mobile</w:t>
      </w:r>
    </w:p>
    <w:p>
      <w:r>
        <w:t>Height/weight: 5'10" / 97 kg (~214 lb), BMI 30.6 (Class I obesity); dry-weight baseline 97 kg</w:t>
      </w:r>
    </w:p>
    <w:p>
      <w:r>
        <w:t>Allergy: Lisinopril (cough — ACE-inhibitor intolerance). No known food or environmental allergies.</w:t>
      </w:r>
    </w:p>
    <w:p>
      <w:r>
        <w:t>Insurance: Primary — Medicare Part A &amp; B (1ABC-DE4-F562, eligibility via qualifying disability determination on file). Secondary — Keystone Senior Supplement Plan G (KSS-77419266, GRP-00481). Pharmacy — Medicare Part D / Keystone Rx (BIN 017920, PCN MEDDPRIME).</w:t>
      </w:r>
    </w:p>
    <w:p>
      <w:r>
        <w:t>Employment: Retired (former machinist).  Marital status: Married.  Preferred language: English.</w:t>
      </w:r>
    </w:p>
    <w:p>
      <w:r>
        <w:t>Pre-admission functional baseline: chronically ill but functioning at home; independent indoors with slower-than-average pace; occasional cane for longer distances; participates in medication routine with family oversight; mild age-related forgetfulness only.</w:t>
      </w:r>
    </w:p>
    <w:p>
      <w:pPr>
        <w:pStyle w:val="Heading3"/>
      </w:pPr>
      <w:r>
        <w:t>Family / Caregivers</w:t>
      </w:r>
    </w:p>
    <w:p>
      <w:r>
        <w:t>• Mara Merrow — Wife; primary caregiver and historian; designated healthcare proxy and primary contact. (412) 555-0229; mara.merrow@example.org. Holds the baseline-function view; documents medication-routine and home-safety concerns; cooperative, not oppositional.</w:t>
      </w:r>
    </w:p>
    <w:p>
      <w:r>
        <w:t>• Lenora Merrow-Halsey — Adult daughter; secondary contact. (412) 555-0231. Lives nearby; provides intermittent support including transportation and weekend supervision.</w:t>
      </w:r>
    </w:p>
    <w:p>
      <w:pPr>
        <w:pStyle w:val="Heading2"/>
      </w:pPr>
      <w:r>
        <w:t>4. Key Parties — Care Team</w:t>
      </w:r>
    </w:p>
    <w:p>
      <w:r>
        <w:t>Attending hospitalist: Elian Vossmere, MD — Hospital Medicine, NPI 1528374960, pager (412) 555-0301, office (412) 555-0302. Owning attending for the hospitalization; balanced synthesis voice.</w:t>
      </w:r>
    </w:p>
    <w:p>
      <w:r>
        <w:t>Hospitalist resident: Ines Travyn, MD (PGY-2), Hospital Medicine. Co-author on H&amp;P and progress notes.</w:t>
      </w:r>
    </w:p>
    <w:p>
      <w:r>
        <w:t>Cardiology consult: Maris Caldrane, MD, NPI 1639485071, pager (412) 555-0311. HFrEF / CAD protective-therapy emphasis; restart-sequencing concerns; dated addenda 05/19–05/23.</w:t>
      </w:r>
    </w:p>
    <w:p>
      <w:r>
        <w:t>Nephrology consult: Iven Solthar, MD, NPI 1740596182, pager (412) 555-0321. AKI-on-CKD framing; renal-sensitive medication caution; dated addenda 05/19–05/23.</w:t>
      </w:r>
    </w:p>
    <w:p>
      <w:r>
        <w:t>Endocrinology consult: Nerea Veylorn, MD, NPI 1851607293, pager (412) 555-0331. Chronic steroid-exposure risk; does not declare adrenal insufficiency; dated addenda HD4–HD6.</w:t>
      </w:r>
    </w:p>
    <w:p>
      <w:r>
        <w:t>ED attending: Calder Brensmuth, MD — Emergency Medicine, NPI 1184930526. Initial presentation and admission handoff.</w:t>
      </w:r>
    </w:p>
    <w:p>
      <w:r>
        <w:t>Primary care (outpatient): Talia Quenor, MD — Mercy Vale Primary Care, Harbor Crest Clinic (215 Harbor Crest Way, Suite 220, Bridgehollow, PA 15211; (412) 555-0410), NPI 1962718304.</w:t>
      </w:r>
    </w:p>
    <w:p>
      <w:r>
        <w:t>Outpatient rheumatology: Soren Halvek, MD — Riverbend Rheumatology Associates, NPI 1073829415, practice line (412) 555-0520. Holds chronic PMR taper intent; provenance note released to inpatient team.</w:t>
      </w:r>
    </w:p>
    <w:p>
      <w:r>
        <w:t>Inpatient pharmacy: Ezekiel Marlott, PharmD, BCPS — Pharmacy / Medication Reconciliation. Author of initial med rec and co-signer on medication-safety handoff.</w:t>
      </w:r>
    </w:p>
    <w:p>
      <w:r>
        <w:t>Physical Therapy: Renna Volkos, DPT — Rehabilitation Services.</w:t>
      </w:r>
    </w:p>
    <w:p>
      <w:r>
        <w:t>Occupational Therapy: Brennan Sayre, OTR/L — Rehabilitation Services.</w:t>
      </w:r>
    </w:p>
    <w:p>
      <w:r>
        <w:t>Bedside nursing: Aila Rensby, RN (day shift, 5 West Medical); Toren Pelvik, RN (night shift, 5 West Medical).</w:t>
      </w:r>
    </w:p>
    <w:p>
      <w:r>
        <w:t>Case management: Priya Ostroff, RN, BSN, CCM — Care Management.</w:t>
      </w:r>
    </w:p>
    <w:p>
      <w:r>
        <w:t>Social work: Devra Aimes, LCSW — Care Management / Social Work.</w:t>
      </w:r>
    </w:p>
    <w:p>
      <w:r>
        <w:t>Quality and Transitions of Care reviewer (Task 6): Halden Orsavic, MD — Office of Quality and Transitions of Care.</w:t>
      </w:r>
    </w:p>
    <w:p>
      <w:pPr>
        <w:pStyle w:val="Heading2"/>
      </w:pPr>
      <w:r>
        <w:t>5. Scenario Summary</w:t>
      </w:r>
    </w:p>
    <w:p>
      <w:r>
        <w:t>Korvin Merrow is a 62-year-old man admitted after approximately three weeks of progressive weakness, poor oral intake, lightheadedness with a near-fall at home (05/17/2026), family-noted confusion compared with baseline, possible urinary symptoms, and medication-management mistakes. His chronic disease profile is common but high-stakes: HFrEF, CAD with remote PCI/stent, CKD stage 3, type 2 diabetes mellitus with peripheral neuropathy, polymyalgia rheumatica with chronic prednisone exposure, obstructive sleep apnea (CPAP, variable adherence), anemia of CKD, hypertension, mixed hyperlipidemia, and polypharmacy (19-item home regimen).</w:t>
      </w:r>
    </w:p>
    <w:p>
      <w:r>
        <w:t>The initial ED and admission frame is suspected urinary-source infection / sepsis physiology with dehydration, altered baseline mental status, functional decline, and AKI-on-CKD risk in a medically complex patient. Empiric antibiotic therapy is initiated; cautious fluids; cardiorenal medications held pending stabilization. Sepsis-oriented management is clinically reasonable for the first 24–72 hours.</w:t>
      </w:r>
    </w:p>
    <w:p>
      <w:r>
        <w:t>By HD3–HD4 the case is broader than infection. Renal trajectory improves, but cardiorenal medication restart sequencing becomes the central decision: Cardiology emphasizes preserving HFrEF/CAD protective therapy; Nephrology emphasizes renal and hemodynamic fragility. Endocrinology is consulted around persistent low-reserve symptoms and chronic steroid exposure. Outpatient rheumatology provenance (Dr. Halvek) becomes available; it documents cautious-taper intent without a fixed numeric dose. PT and OT assessments document functional and cognitive gaps not visible from physician summaries alone. Family-reported deviation from baseline is documented in detail.</w:t>
      </w:r>
    </w:p>
    <w:p>
      <w:r>
        <w:t>By HD5–HD6 medical improvement is real but discharge readiness is genuinely uncertain. The world closes on 05/23/2026 at 18:00 during discharge planning, with no final discharge order on the chart; transition logistics (home health acceptance, equipment delivery, transportation, supervision plan, pharmacy logistics) remain pending.</w:t>
      </w:r>
    </w:p>
    <w:p>
      <w:r>
        <w:t>Core judgment problem: the most visible documents (discharge-facing plan snapshot, latest consultant addenda) are the most reassuring; the documents containing the residual risk are quieter (PT/OT findings, nursing observations, family communication, dated earlier addenda, pharmacy/refill history). A correct review separates medical stabilization from practical discharge readiness by synthesizing source reliability, consultant timing, medication actions, objective trends, bedside function, and family baseline knowledge.</w:t>
      </w:r>
    </w:p>
    <w:p>
      <w:pPr>
        <w:pStyle w:val="Heading2"/>
      </w:pPr>
      <w:r>
        <w:t>6. Timeline of Events</w:t>
      </w:r>
    </w:p>
    <w:p>
      <w:r>
        <w:t>• 04/27/2026 — Approximate start of three-week decline (reduced stamina, activity, appetite, fluid intake; increasing family dependence).</w:t>
      </w:r>
    </w:p>
    <w:p>
      <w:r>
        <w:t>• 05/11/2026 — Final pre-admission week begins (weakness, unsteadiness, possible urinary symptoms, cognitive slowing, medication mistakes more concerning).</w:t>
      </w:r>
    </w:p>
    <w:p>
      <w:r>
        <w:t>• 05/17/2026 — Near-fall at home; family prevents impact; no head strike, no LOC.</w:t>
      </w:r>
    </w:p>
    <w:p>
      <w:r>
        <w:t>• 05/18/2026 (HD1) — ED arrival ~11:42 by family vehicle; admitted to Hospital Medicine, 5 West Medical, Room 5W-318 under Dr. Vossmere. Suspected urinary-source sepsis with AKI-on-CKD, dehydration, altered mental status, functional decline. Empiric antibiotics, cautious IV fluids, cardiorenal holds initiated; initial pharmacy-led med rec; primary care outpatient baseline summary, problem-list/history snapshot, and sleep-study/OSA provenance attached to chart.</w:t>
      </w:r>
    </w:p>
    <w:p>
      <w:r>
        <w:t>• 05/19/2026 (HD2) — Early treatment response; partial improvement. Initial Cardiology and Nephrology consults entered.</w:t>
      </w:r>
    </w:p>
    <w:p>
      <w:r>
        <w:t>• 05/20/2026 (HD3) — PT and OT initial assessments. Cardiology and Nephrology HD3 addenda.</w:t>
      </w:r>
    </w:p>
    <w:p>
      <w:r>
        <w:t>• 05/21/2026 (HD4) — Consultant tensions peak (Cardiology vs Nephrology on restart timing). Endocrinology consult entered. Outpatient rheumatology prednisone provenance (Dr. Halvek) becomes available and is reviewed.</w:t>
      </w:r>
    </w:p>
    <w:p>
      <w:r>
        <w:t>• 05/22/2026 (HD5) — Discharge planning becomes plausible. Family care conference (bedside, 14:10–14:55) with Mara Merrow present and Lenora Merrow-Halsey by phone. Case Management and Social Work formally engaged; discharge-planning note drafted. PT and OT interval updates.</w:t>
      </w:r>
    </w:p>
    <w:p>
      <w:r>
        <w:t>• 05/23/2026 (HD6) — World-close day. Hospitalist discharge-planning progress note; renal/infection/hemodynamic trend summary compiled; nursing observation flowsheet summary signed; MAR through HD6; discharge-facing plan snapshot prepared before 18:00. No final discharge order issued before world close.</w:t>
      </w:r>
    </w:p>
    <w:p>
      <w:r>
        <w:t>• 05/24/2026 — Anticipated discharge date (working target). Task-level files for T1–T4 anchored to this date.</w:t>
      </w:r>
    </w:p>
    <w:p>
      <w:r>
        <w:t>• 05/31/2026 — +7-day anchor for Task 5 (early post-discharge follow-up; no actual post-discharge encounter data exists).</w:t>
      </w:r>
    </w:p>
    <w:p>
      <w:r>
        <w:t>• 06/23/2026 — +30-day anchor for Task 6 (retrospective readmission-risk review; no actual readmission data exists).</w:t>
      </w:r>
    </w:p>
    <w:p>
      <w:pPr>
        <w:pStyle w:val="Heading2"/>
      </w:pPr>
      <w:r>
        <w:t>7. Task Structure</w:t>
      </w:r>
    </w:p>
    <w:p>
      <w:r>
        <w:t>The world supports six physician-facing or physician-supervised clinical deliverables. All tasks draw from the 22 essential world-level files plus their corresponding task-level request memos.</w:t>
      </w:r>
    </w:p>
    <w:p>
      <w:r>
        <w:t>• T1 — Discharge Medication Reconciliation / Medication Safety Review.  Anchor 05/24/2026. Priority P0. Difficulty Hard.</w:t>
      </w:r>
    </w:p>
    <w:p>
      <w:r>
        <w:t>• T2 — Hospital Discharge Summary Generation.  Anchor 05/24/2026. Priority P0. Difficulty Medium-Hard.</w:t>
      </w:r>
    </w:p>
    <w:p>
      <w:r>
        <w:t>• T3 — Discharge Readiness / Care Coordination Documentation.  Anchor 05/24/2026. Priority P0. Difficulty Medium.</w:t>
      </w:r>
    </w:p>
    <w:p>
      <w:r>
        <w:t>• T4 — Consultant Synthesis / Interdisciplinary Care Plan.  Anchor 05/24/2026. Priority P1. Difficulty Hard.</w:t>
      </w:r>
    </w:p>
    <w:p>
      <w:r>
        <w:t>• T5 — Early Post-Discharge Follow-Up Assessment (TCM).  Anchor 05/31/2026. Priority P1. Difficulty Medium.</w:t>
      </w:r>
    </w:p>
    <w:p>
      <w:r>
        <w:t>• T6 — Patient-Safety / Readmission-Risk Review.  Anchor 06/23/2026. Priority P1. Difficulty Medium-Hard.</w:t>
      </w:r>
    </w:p>
    <w:p>
      <w:pPr>
        <w:pStyle w:val="Heading2"/>
      </w:pPr>
      <w:r>
        <w:t>8. Clinical and Regulatory Frameworks at Play</w:t>
      </w:r>
    </w:p>
    <w:p>
      <w:r>
        <w:t>• Medication reconciliation standards (Joint Commission NPSG.03.06.01) — admission, transitions, and discharge reconciliation across home, inpatient, and outpatient medication lists.</w:t>
      </w:r>
    </w:p>
    <w:p>
      <w:r>
        <w:t>• AKI / CKD management — KDIGO AKI staging and KDIGO CKD evaluation; pre-admission CKD stage 3 baseline with AKI-on-CKD during the hospitalization.</w:t>
      </w:r>
    </w:p>
    <w:p>
      <w:r>
        <w:t>• HFrEF guideline-directed medical therapy (GDMT) — ACC/AHA/HFSA 2022 heart failure guideline; sacubitril/valsartan, beta-blocker (carvedilol), mineralocorticoid receptor antagonist (spironolactone), SGLT2 inhibitor (empagliflozin), loop diuretic (furosemide); held during AKI/hemodynamic vulnerability with reassessment.</w:t>
      </w:r>
    </w:p>
    <w:p>
      <w:r>
        <w:t>• Inpatient glycemic management — Endocrine Society / ADA inpatient glycemic guidance; insulin glargine continued with adjustment; correctional sliding-scale lispro for inpatient coverage only; metformin/empagliflozin held during AKI/acute illness.</w:t>
      </w:r>
    </w:p>
    <w:p>
      <w:r>
        <w:t>• Chronic corticosteroid exposure and tapering — PMR managed under outpatient rheumatology; inpatient interim coverage continued during source reconstruction; no fixed home dose established.</w:t>
      </w:r>
    </w:p>
    <w:p>
      <w:r>
        <w:t>• Transitions of care — Society of Hospital Medicine BOOST framework / CMS Transitional Care Management (TCM) post-discharge cadence informs Task 5 +7 anchor.</w:t>
      </w:r>
    </w:p>
    <w:p>
      <w:r>
        <w:t>• 30-day readmission-risk surveillance — informs Task 6 retrospective review.</w:t>
      </w:r>
    </w:p>
    <w:p>
      <w:r>
        <w:t>• Coverage and billing context — Medicare Part A &amp; B with secondary supplement and Part D pharmacy benefit; Medicare-at-62 eligibility via qualifying disability determination on file.</w:t>
      </w:r>
    </w:p>
    <w:p>
      <w:pPr>
        <w:pStyle w:val="Heading2"/>
      </w:pPr>
      <w:r>
        <w:t>9. Decisions In Progress at World Close (05/23/2026 18:00)</w:t>
      </w:r>
    </w:p>
    <w:p>
      <w:r>
        <w:t>Working discharge target 05/24/2026, but no final discharge order has been written. The following items remain under active coordination:</w:t>
      </w:r>
    </w:p>
    <w:p>
      <w:r>
        <w:t>• Cardiorenal medication restart sequencing — Cardiology and Nephrology have entered distinct dated addenda over HD2–HD6; restart timing and order remain unresolved.</w:t>
      </w:r>
    </w:p>
    <w:p>
      <w:r>
        <w:t>• Prednisone reconciliation — outpatient rheumatology cautious-taper intent documented without a fixed numeric dose; pre-admission home adherence remains unverifiable from inpatient sources.</w:t>
      </w:r>
    </w:p>
    <w:p>
      <w:r>
        <w:t>• Antibiotic completion vs continuation — inpatient empiric course initiated HD1; oral step-down to cefpodoxime on HD4; final-day disposition pending discharge order.</w:t>
      </w:r>
    </w:p>
    <w:p>
      <w:r>
        <w:t>• Home health agency acceptance — Keystone HomeCare Services referral pending acceptance.</w:t>
      </w:r>
    </w:p>
    <w:p>
      <w:r>
        <w:t>• Durable medical equipment delivery (rolling walker, bedside commode, grab bars) — under coordination, delivery not confirmed.</w:t>
      </w:r>
    </w:p>
    <w:p>
      <w:r>
        <w:t>• Transportation for discharge and follow-up — under coordination, not arranged.</w:t>
      </w:r>
    </w:p>
    <w:p>
      <w:r>
        <w:t>• Family supervision plan for first week at home — discussed at HD5 care conference, not finalized.</w:t>
      </w:r>
    </w:p>
    <w:p>
      <w:r>
        <w:t>• Pharmacy first-fill logistics — Harbor Crest Community Pharmacy of record; first-fill timing for any new or changed prescription pending.</w:t>
      </w:r>
    </w:p>
    <w:p>
      <w:r>
        <w:t>• Follow-up appointments — Primary care within 7 days; Nephrology within 1–2 weeks; Cardiology within 2 weeks; Endocrinology within 2–4 weeks; Rheumatology within 2–4 weeks for taper coordination. Confirmation status pending.</w:t>
      </w:r>
    </w:p>
    <w:p>
      <w:pPr>
        <w:pStyle w:val="Heading2"/>
      </w:pPr>
      <w:r>
        <w:t>10. Trap Architecture (admin reference)</w:t>
      </w:r>
    </w:p>
    <w:p>
      <w:r>
        <w:t>The world registers 16 traps spanning narrative, source-hierarchy, sequencing, and discharge-readiness dimensions. Severities: 2 breaking, 11 high, 3 medium.</w:t>
      </w:r>
    </w:p>
    <w:p>
      <w:r>
        <w:t>• visible-discharge-snapshot-overtrust (breaking) — tasks T1/T2/T3/T5/T6. EW22 looks reassuring but deliberately omits functional/cognitive concerns, family baseline, prednisone reconciliation, and unresolved restart decisions.</w:t>
      </w:r>
    </w:p>
    <w:p>
      <w:r>
        <w:t>• invented-follow-up-or-outcome-facts (breaking) — tasks T5/T6. No post-discharge clinical file exists; reviewers must not fabricate readmission, ED revisit, lab, or encounter outcomes.</w:t>
      </w:r>
    </w:p>
    <w:p>
      <w:r>
        <w:t>• premature-or-delayed-cardiorenal-restart (high) — tasks T1/T4/T6. Cardiology and Nephrology hold defensible time-qualified positions; synthesis problem.</w:t>
      </w:r>
    </w:p>
    <w:p>
      <w:r>
        <w:t>• prednisone-source-error (high) — tasks T1/T4/T5. No verified numeric home dose; spec mandates must-not-invent-a-fixed-dose; reviewers reconstruct intent through source hierarchy.</w:t>
      </w:r>
    </w:p>
    <w:p>
      <w:r>
        <w:t>• inpatient-only-therapy-drift (high) — task T1. Insulin lispro correctional and IV-only therapies present on MAR alongside chronic agents; must not carry forward to discharge list.</w:t>
      </w:r>
    </w:p>
    <w:p>
      <w:r>
        <w:t>• buried-medication-management-capacity-evidence (high) — tasks T1/T3/T6. OT, nursing, and family observations carry the supervision-need evidence.</w:t>
      </w:r>
    </w:p>
    <w:p>
      <w:r>
        <w:t>• sepsis-anchor-carry-forward (high) — tasks T1/T2/T5. Initial infection frame is reasonable but does not narrate the full course.</w:t>
      </w:r>
    </w:p>
    <w:p>
      <w:r>
        <w:t>• consultant-chronology-flattening-and-latest-note-bias (high) — tasks T2/T4/T6. Each addendum is governed by its date and clinical context.</w:t>
      </w:r>
    </w:p>
    <w:p>
      <w:r>
        <w:t>• functional-evidence-omission (high) — tasks T2/T3/T5/T6. PT/OT/nursing/family findings carry readiness evidence outside physician summaries.</w:t>
      </w:r>
    </w:p>
    <w:p>
      <w:r>
        <w:t>• medical-stability-equals-readiness (high) — tasks T3/T5. Improvement in infection markers and renal trajectory does not equal functional or cognitive readiness for home.</w:t>
      </w:r>
    </w:p>
    <w:p>
      <w:r>
        <w:t>• family-concern-dismissal (high) — tasks T3/T6. Mara Merrow's baseline-informed observations are documented stakeholder evidence, not generic caregiver anxiety.</w:t>
      </w:r>
    </w:p>
    <w:p>
      <w:r>
        <w:t>• consultant-winner-selection (high) — task T4. Defensible competing positions to be synthesized, not adjudicated.</w:t>
      </w:r>
    </w:p>
    <w:p>
      <w:r>
        <w:t>• friction-collapse (high) — task T6. Three documented frictions (F1 Cardiology/Nephrology, F2 Family/Primary, F3 Endocrinology/Primary) remain live at world close.</w:t>
      </w:r>
    </w:p>
    <w:p>
      <w:r>
        <w:t>• service-plan-overconfidence-disposition-siloing (medium) — tasks T3/T4. Case Management items remain unconfirmed; service plan not finalized.</w:t>
      </w:r>
    </w:p>
    <w:p>
      <w:r>
        <w:t>• steroid-overcall (medium) — task T4. Chronic steroid exposure is risk substrate, not the diagnosis of adrenal insufficiency.</w:t>
      </w:r>
    </w:p>
    <w:p>
      <w:r>
        <w:t>• medication-monitoring-gap (medium) — task T5. No scheduled post-discharge monitoring plan exists at world close.</w:t>
      </w:r>
    </w:p>
    <w:p>
      <w:pPr>
        <w:pStyle w:val="Heading2"/>
      </w:pPr>
      <w:r>
        <w:t>11. File Inventory (/filesystem/)</w:t>
      </w:r>
    </w:p>
    <w:p>
      <w:r>
        <w:t>33 unique .docx files delivered. Listed by role:</w:t>
      </w:r>
    </w:p>
    <w:p>
      <w:r>
        <w:t>World-level (22): ed_triage_initial_intake_05182026; ed_provider_assessment_05182026; admission_history_and_physical_05182026; initial_medication_reconciliation_note_05182026; pharmacy_refill_history_report_05182026; outpatient_rheumatology_prednisone_provenance_05212026; primary_care_outpatient_baseline_summary_05182026; hospitalist_progress_hd1_hd2_05192026; hospitalist_progress_hd3_05202026; hospitalist_progress_hd4_05212026; hospitalist_discharge_planning_progress_hd5_hd6_05232026; renal_infection_hemodynamic_trend_summary_05232026; medication_administration_record_05232026; nephrology_consultation_05212026; cardiology_consultation_05212026; endocrinology_consultation_05212026; nursing_observation_flowsheet_summary_05232026; physical_therapy_assessment_05202026; occupational_therapy_assessment_05202026; family_communication_care_conference_05222026; case_management_social_work_discharge_note_05222026; discharge_facing_plan_snapshot_05232026.</w:t>
      </w:r>
    </w:p>
    <w:p>
      <w:r>
        <w:t>Task-level (7): discharge_medication_reconciliation_request_05242026 (T1); medication_safety_handoff_addendum_05242026 (T1 addendum); discharge_summary_request_05242026 (T2); discharge_readiness_care_coordination_request_05242026 (T3); consultant_synthesis_care_plan_request_05242026 (T4); post_discharge_followup_request_05312026 (T5); readmission_risk_review_request_06232026 (T6).</w:t>
      </w:r>
    </w:p>
    <w:p>
      <w:r>
        <w:t>Supplementary (4): pci_stent_history_summary_05182026; sleep_study_osa_history_summary_05182026; problem_list_history_snapshot_05182026; home_support_equipment_reference_05222026.</w:t>
      </w:r>
    </w:p>
    <w:p>
      <w:pPr>
        <w:pStyle w:val="Heading2"/>
      </w:pPr>
      <w:r>
        <w:t>12. Notes for SPLs and Customers</w:t>
      </w:r>
    </w:p>
    <w:p>
      <w:r>
        <w:t>• Prednisone numeric dose is DELIBERATELY UNFIXED across all carrier files (MAR, initial med rec, rheumatology provenance). This is a registered intentional ambiguity per spec.prednisone_intentional_uncertainty — do NOT add a numeric mg dose to defuse cross-doc consistency checkers.</w:t>
      </w:r>
    </w:p>
    <w:p>
      <w:r>
        <w:t>• EW22 (discharge_facing_plan_snapshot) is the conceal-surface for the visible-discharge-snapshot-overtrust trap; it intentionally omits prednisone reconciliation, functional/cognitive concerns, and family-baseline observations.</w:t>
      </w:r>
    </w:p>
    <w:p>
      <w:r>
        <w:t>• The world contains no fictional post-discharge data after 05/23/2026 18:00. Task 5 (+7) and Task 6 (+30) must NOT fabricate outcomes.</w:t>
      </w:r>
    </w:p>
    <w:p>
      <w:r>
        <w:t>• Provenance ledger lives at /.meta/provenance_ledger.json; per-file remediation history across 7 repair iterations is recorded there.</w:t>
      </w:r>
    </w:p>
    <w:p>
      <w:r>
        <w:t>• Synthetic-marker watermark (formerly rendered in document bodies as "SYNTHETIC TRAINING DOCUMENT | FICTIONAL PATIENT | NOT A REAL MEDICAL RECORD") was removed from all 33 files during repair; the marker is retained in spec metadata only.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