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Care Management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HD5-HD6 through 05/23/2026 18:00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Case Management / Social Work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Case Management / Social Work discharge-planning note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CASE MANAGEMENT / SOCIAL WORK DISCHARGE-PLANNING NOTE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Case Management / Social Work  |  Department: Care Management  |  HD5-HD6 through 05/23/2026 18:00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CASE MANAGEMENT / SOCIAL WORK NOTE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Documentation window: HD5-HD6 before world close.</w:t>
      </w:r>
    </w:p>
    <w:p>
      <w:r>
        <w:rPr>
          <w:rFonts w:ascii="Arial" w:hAnsi="Arial"/>
          <w:b w:val="0"/>
          <w:i w:val="0"/>
          <w:color w:val="232830"/>
          <w:sz w:val="19"/>
        </w:rPr>
        <w:t>This source supports discharge logistics and transition planning. It is not a final disposition decision, discharge order, discharge summary, or answer file.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REFERRAL REASON</w:t>
      </w:r>
    </w:p>
    <w:p>
      <w:r>
        <w:rPr>
          <w:rFonts w:ascii="Arial" w:hAnsi="Arial"/>
          <w:b w:val="0"/>
          <w:i w:val="0"/>
          <w:color w:val="232830"/>
          <w:sz w:val="19"/>
        </w:rPr>
        <w:t>Case Management / Social Work engaged because discharge planning became plausible as Korvin improved medically, while functional status, medication complexity, family support, and follow-up feasibility remained active questions.</w:t>
      </w:r>
    </w:p>
    <w:p>
      <w:r>
        <w:rPr>
          <w:rFonts w:ascii="Arial" w:hAnsi="Arial"/>
          <w:b w:val="0"/>
          <w:i w:val="0"/>
          <w:color w:val="232830"/>
          <w:sz w:val="19"/>
        </w:rPr>
        <w:t>Relevant context from chart: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reports meaningful deviation from baseline;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PT/OT and nursing observations suggest improvement but not a clean independent baseline;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medication plan remains complex because renal, cardiac, steroid, and diabetes issues require synthesis;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wants clear instructions and support planning if discharge proceeds.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HOME / SUPPORT CONTEXT</w:t>
      </w:r>
    </w:p>
    <w:p>
      <w:r>
        <w:rPr>
          <w:rFonts w:ascii="Arial" w:hAnsi="Arial"/>
          <w:b w:val="0"/>
          <w:i w:val="0"/>
          <w:color w:val="232830"/>
          <w:sz w:val="19"/>
        </w:rPr>
        <w:t>Korvin lives with family. Family is involved and provides oversight for medication routines. Mara Merrow is engaged and asks appropriate questions.</w:t>
      </w:r>
    </w:p>
    <w:p>
      <w:r>
        <w:rPr>
          <w:rFonts w:ascii="Arial" w:hAnsi="Arial"/>
          <w:b w:val="0"/>
          <w:i w:val="0"/>
          <w:color w:val="232830"/>
          <w:sz w:val="19"/>
        </w:rPr>
        <w:t>Support factors: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presence is available but schedule and hands-on capacity require clarification;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can help with transportation if timing is coordinated;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home medication routine is already complex;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patient may need early supervision with new or changed instructions;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outpatient follow-up coordination will matter because multiple specialties and primary care may be involved.</w:t>
      </w:r>
    </w:p>
    <w:p>
      <w:r>
        <w:rPr>
          <w:rFonts w:ascii="Arial" w:hAnsi="Arial"/>
          <w:b w:val="0"/>
          <w:i w:val="0"/>
          <w:color w:val="232830"/>
          <w:sz w:val="19"/>
        </w:rPr>
        <w:t>This support context makes home planning plausible, but not automatic.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SERVICES / EQUIPMENT DISCUSSION</w:t>
      </w:r>
    </w:p>
    <w:p>
      <w:r>
        <w:rPr>
          <w:rFonts w:ascii="Arial" w:hAnsi="Arial"/>
          <w:b w:val="0"/>
          <w:i w:val="0"/>
          <w:color w:val="232830"/>
          <w:sz w:val="19"/>
        </w:rPr>
        <w:t>Case management discussed transition supports with the interdisciplinary team.</w:t>
      </w:r>
    </w:p>
    <w:p>
      <w:r>
        <w:rPr>
          <w:rFonts w:ascii="Arial" w:hAnsi="Arial"/>
          <w:b w:val="0"/>
          <w:i w:val="0"/>
          <w:color w:val="232830"/>
          <w:sz w:val="19"/>
        </w:rPr>
        <w:t>Items under discussion before world close: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home health nursing for medication review or early monitoring if eligible and accepted;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home PT/OT or outpatient therapy depending on final functional plan;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assistive device consistency, including whether cane use remains sufficient or whether therapy recommends another device;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education around medication changes and warning signs;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follow-up appointment feasibility with primary care and relevant specialists;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transportation for follow-up;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pharmacy access and medication pickup logistics.</w:t>
      </w:r>
    </w:p>
    <w:p>
      <w:r>
        <w:rPr>
          <w:rFonts w:ascii="Arial" w:hAnsi="Arial"/>
          <w:b w:val="0"/>
          <w:i w:val="0"/>
          <w:color w:val="232830"/>
          <w:sz w:val="19"/>
        </w:rPr>
        <w:t>No service plan is documented here as complete, accepted, authorized, or sufficient by itself.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FAMILY / TEAM FRICTION</w:t>
      </w:r>
    </w:p>
    <w:p>
      <w:r>
        <w:rPr>
          <w:rFonts w:ascii="Arial" w:hAnsi="Arial"/>
          <w:b w:val="0"/>
          <w:i w:val="0"/>
          <w:color w:val="232830"/>
          <w:sz w:val="19"/>
        </w:rPr>
        <w:t>Family concern is documented as meaningful and specific. Mara is not simply objecting to discharge; she is asking whether Korvin's current function, cognition, and medication-management reliability match the home environment.</w:t>
      </w:r>
    </w:p>
    <w:p>
      <w:r>
        <w:rPr>
          <w:rFonts w:ascii="Arial" w:hAnsi="Arial"/>
          <w:b w:val="0"/>
          <w:i w:val="0"/>
          <w:color w:val="232830"/>
          <w:sz w:val="19"/>
        </w:rPr>
        <w:t>Primary-team reasoning is also documented as plausible. Korvin has improved medically, objective trends are better, and discharge planning can reasonably be explored.</w:t>
      </w:r>
    </w:p>
    <w:p>
      <w:r>
        <w:rPr>
          <w:rFonts w:ascii="Arial" w:hAnsi="Arial"/>
          <w:b w:val="0"/>
          <w:i w:val="0"/>
          <w:color w:val="232830"/>
          <w:sz w:val="19"/>
        </w:rPr>
        <w:t>Case Management / Social Work note: the transition plan should integrate therapy recommendations, nursing observations, final medication instructions, family availability, and follow-up logistics. This note does not decide whether discharge should occur.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 ACCESS / INSTRUCTION NEEDS</w:t>
      </w:r>
    </w:p>
    <w:p>
      <w:r>
        <w:rPr>
          <w:rFonts w:ascii="Arial" w:hAnsi="Arial"/>
          <w:b w:val="0"/>
          <w:i w:val="0"/>
          <w:color w:val="232830"/>
          <w:sz w:val="19"/>
        </w:rPr>
        <w:t>Medication logistics are flagged because the regimen is complex and may change during hospitalization.</w:t>
      </w:r>
    </w:p>
    <w:p>
      <w:r>
        <w:rPr>
          <w:rFonts w:ascii="Arial" w:hAnsi="Arial"/>
          <w:b w:val="0"/>
          <w:i w:val="0"/>
          <w:color w:val="232830"/>
          <w:sz w:val="19"/>
        </w:rPr>
        <w:t>Concerns to coordinate: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should understand which chronic medications are continued, held, restarted, or deferred if a discharge plan is later finalized;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inpatient-only correctional insulin lispro should not be assumed to be a home medication without a final authorized medication plan;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prednisone instructions require source-aware explanation and should not be inferred from family report alone;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renal/HF medication timing requires clear communication because Cardiology and Nephrology concerns remain both relevant.</w:t>
      </w:r>
    </w:p>
    <w:p>
      <w:r>
        <w:rPr>
          <w:rFonts w:ascii="Arial" w:hAnsi="Arial"/>
          <w:b w:val="0"/>
          <w:i w:val="0"/>
          <w:color w:val="232830"/>
          <w:sz w:val="19"/>
        </w:rPr>
        <w:t>This note does not create a discharge medication list or final medication reconciliation.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HD6 BEFORE 18:00 STATUS</w:t>
      </w:r>
    </w:p>
    <w:p>
      <w:r>
        <w:rPr>
          <w:rFonts w:ascii="Arial" w:hAnsi="Arial"/>
          <w:b w:val="0"/>
          <w:i w:val="0"/>
          <w:color w:val="232830"/>
          <w:sz w:val="19"/>
        </w:rPr>
        <w:t>Before world close, care coordination remains active.</w:t>
      </w:r>
    </w:p>
    <w:p>
      <w:r>
        <w:rPr>
          <w:rFonts w:ascii="Arial" w:hAnsi="Arial"/>
          <w:b w:val="0"/>
          <w:i w:val="0"/>
          <w:color w:val="232830"/>
          <w:sz w:val="19"/>
        </w:rPr>
        <w:t>Open items: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level of supervision family can provide;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reconcile therapy and nursing functional observations;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identify whether home services are needed and feasible;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coordinate follow-up plan if discharge proceeds;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ensure medication education has an accountable owner;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avoid assuming medical improvement alone resolves home safety.</w:t>
      </w:r>
    </w:p>
    <w:p>
      <w:r>
        <w:rPr>
          <w:rFonts w:ascii="Arial" w:hAnsi="Arial"/>
          <w:b w:val="0"/>
          <w:i w:val="0"/>
          <w:color w:val="232830"/>
          <w:sz w:val="19"/>
        </w:rPr>
        <w:t>The note supports the need for synthesis. It does not make discharge obviously safe or unsafe.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GUARDRAILS</w:t>
      </w:r>
    </w:p>
    <w:p>
      <w:r>
        <w:rPr>
          <w:rFonts w:ascii="Arial" w:hAnsi="Arial"/>
          <w:b w:val="0"/>
          <w:i w:val="0"/>
          <w:color w:val="232830"/>
          <w:sz w:val="19"/>
        </w:rPr>
        <w:t>EW21 provides transition logistics and caregiver-capacity context. It does not determine discharge outcome, resolve family friction, create EW22's visible discharge-facing artifact, finalize services, create task instructions, or replace hospitalist decision ownership.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Case Management / Social Work  |  Care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Case Management / Social Work discharge-planning note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