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c>
          <w:tcPr>
            <w:tcW w:type="dxa" w:w="10368"/>
            <w:shd w:val="clear" w:fill="FFF8E1"/>
          </w:tcPr>
          <w:p>
            <w:pPr>
              <w:spacing w:before="40" w:after="40"/>
              <w:jc w:val="center"/>
            </w:pPr>
            <w:r>
              <w:rPr>
                <w:rFonts w:ascii="Arial" w:hAnsi="Arial"/>
                <w:b/>
                <w:i w:val="0"/>
                <w:color w:val="9A6000"/>
                <w:sz w:val="16"/>
              </w:rPr>
              <w:t>SYNTHETIC TRAINING DOCUMENT  |  FICTIONAL PATIENT  |  NOT A REAL MEDICAL RECORD</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Care Coordination</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 / Anchor</w:t>
              <w:br/>
            </w:r>
            <w:r>
              <w:rPr>
                <w:rFonts w:ascii="Arial" w:hAnsi="Arial"/>
                <w:b w:val="0"/>
                <w:i w:val="0"/>
                <w:color w:val="232830"/>
                <w:sz w:val="16"/>
              </w:rPr>
              <w:t>05/24/2026 / discharge anchor</w:t>
            </w:r>
          </w:p>
        </w:tc>
        <w:tc>
          <w:tcPr>
            <w:tcW w:type="dxa" w:w="2592"/>
            <w:shd w:val="clear" w:fill="EDF2FA"/>
          </w:tcPr>
          <w:p>
            <w:r>
              <w:rPr>
                <w:rFonts w:ascii="Arial" w:hAnsi="Arial"/>
                <w:b/>
                <w:i w:val="0"/>
                <w:color w:val="5E6670"/>
                <w:sz w:val="14"/>
              </w:rPr>
              <w:t>Source</w:t>
              <w:br/>
            </w:r>
            <w:r>
              <w:rPr>
                <w:rFonts w:ascii="Arial" w:hAnsi="Arial"/>
                <w:b w:val="0"/>
                <w:i w:val="0"/>
                <w:color w:val="232830"/>
                <w:sz w:val="16"/>
              </w:rPr>
              <w:t>Clinical staff</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Discharge readiness / care coordination request context</w:t>
            </w:r>
          </w:p>
        </w:tc>
      </w:tr>
    </w:tbl>
    <w:p>
      <w:pPr>
        <w:spacing w:after="0"/>
      </w:pPr>
    </w:p>
    <w:p>
      <w:pPr>
        <w:spacing w:after="20"/>
      </w:pPr>
      <w:r>
        <w:rPr>
          <w:rFonts w:ascii="Arial" w:hAnsi="Arial"/>
          <w:b/>
          <w:i w:val="0"/>
          <w:color w:val="1F3864"/>
          <w:sz w:val="28"/>
        </w:rPr>
        <w:t>DISCHARGE READINESS / CARE COORDINATION REQUEST CONTEXT</w:t>
      </w:r>
    </w:p>
    <w:p>
      <w:pPr>
        <w:spacing w:after="120"/>
      </w:pPr>
      <w:r>
        <w:rPr>
          <w:rFonts w:ascii="Arial" w:hAnsi="Arial"/>
          <w:b w:val="0"/>
          <w:i w:val="0"/>
          <w:color w:val="5E6670"/>
          <w:sz w:val="16"/>
        </w:rPr>
        <w:t>Author: Clinical staff  |  Department: Care Coordination  |  05/24/2026 / discharge anchor  |  Status: Signed</w:t>
      </w:r>
    </w:p>
    <w:p>
      <w:pPr>
        <w:spacing w:before="180" w:after="60"/>
        <w:pBdr>
          <w:bottom w:val="single" w:sz="6" w:color="C9D4EA" w:space="2"/>
        </w:pBdr>
      </w:pPr>
      <w:r>
        <w:rPr>
          <w:rFonts w:ascii="Arial" w:hAnsi="Arial"/>
          <w:b/>
          <w:i w:val="0"/>
          <w:color w:val="4472C4"/>
          <w:sz w:val="20"/>
        </w:rPr>
        <w:t>CONTEXT FRAMING</w:t>
      </w:r>
    </w:p>
    <w:p>
      <w:r>
        <w:rPr>
          <w:rFonts w:ascii="Arial" w:hAnsi="Arial"/>
          <w:b w:val="0"/>
          <w:i w:val="0"/>
          <w:color w:val="232830"/>
          <w:sz w:val="19"/>
        </w:rPr>
        <w:t>This task-context file frames a future discharge-readiness and care-coordination request. It is not a discharge plan, not a final services authorization, not a disposition order, and not a task prompt.</w:t>
      </w:r>
    </w:p>
    <w:p>
      <w:r>
        <w:rPr>
          <w:rFonts w:ascii="Arial" w:hAnsi="Arial"/>
          <w:b w:val="0"/>
          <w:i w:val="0"/>
          <w:color w:val="232830"/>
          <w:sz w:val="19"/>
        </w:rPr>
        <w:t>The hospital team and care-coordination staff need a future reviewer to synthesize whether the discharge plan is practically coherent given medical improvement, functional/cognitive evidence, home support, family concerns, medication complexity, objective trends, and the visible but incomplete discharge-facing snapshot.</w:t>
      </w:r>
    </w:p>
    <w:p>
      <w:pPr>
        <w:spacing w:before="180" w:after="60"/>
        <w:pBdr>
          <w:bottom w:val="single" w:sz="6" w:color="C9D4EA" w:space="2"/>
        </w:pBdr>
      </w:pPr>
      <w:r>
        <w:rPr>
          <w:rFonts w:ascii="Arial" w:hAnsi="Arial"/>
          <w:b/>
          <w:i w:val="0"/>
          <w:color w:val="4472C4"/>
          <w:sz w:val="20"/>
        </w:rPr>
        <w:t>REQUIRED WORLD-FILE SYNTHESIS</w:t>
      </w:r>
    </w:p>
    <w:p>
      <w:r>
        <w:rPr>
          <w:rFonts w:ascii="Arial" w:hAnsi="Arial"/>
          <w:b w:val="0"/>
          <w:i w:val="0"/>
          <w:color w:val="232830"/>
          <w:sz w:val="19"/>
        </w:rPr>
        <w:t>The future review must synthesize, at minimum:</w:t>
      </w:r>
    </w:p>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3456"/>
        <w:gridCol w:w="3456"/>
        <w:gridCol w:w="3456"/>
      </w:tblGrid>
      <w:tr>
        <w:tc>
          <w:tcPr>
            <w:tcW w:type="dxa" w:w="3456"/>
            <w:shd w:val="clear" w:fill="4472C4"/>
          </w:tcPr>
          <w:p>
            <w:pPr>
              <w:spacing w:after="20"/>
            </w:pPr>
            <w:r>
              <w:rPr>
                <w:rFonts w:ascii="Arial" w:hAnsi="Arial"/>
                <w:b/>
                <w:i w:val="0"/>
                <w:color w:val="FFFFFF"/>
                <w:sz w:val="16"/>
              </w:rPr>
              <w:t>Source family</w:t>
            </w:r>
          </w:p>
        </w:tc>
        <w:tc>
          <w:tcPr>
            <w:tcW w:type="dxa" w:w="3456"/>
            <w:shd w:val="clear" w:fill="4472C4"/>
          </w:tcPr>
          <w:p>
            <w:pPr>
              <w:spacing w:after="20"/>
            </w:pPr>
            <w:r>
              <w:rPr>
                <w:rFonts w:ascii="Arial" w:hAnsi="Arial"/>
                <w:b/>
                <w:i w:val="0"/>
                <w:color w:val="FFFFFF"/>
                <w:sz w:val="16"/>
              </w:rPr>
              <w:t>Locked file IDs</w:t>
            </w:r>
          </w:p>
        </w:tc>
        <w:tc>
          <w:tcPr>
            <w:tcW w:type="dxa" w:w="3456"/>
            <w:shd w:val="clear" w:fill="4472C4"/>
          </w:tcPr>
          <w:p>
            <w:pPr>
              <w:spacing w:after="20"/>
            </w:pPr>
            <w:r>
              <w:rPr>
                <w:rFonts w:ascii="Arial" w:hAnsi="Arial"/>
                <w:b/>
                <w:i w:val="0"/>
                <w:color w:val="FFFFFF"/>
                <w:sz w:val="16"/>
              </w:rPr>
              <w:t>Why review is required</w:t>
            </w:r>
          </w:p>
        </w:tc>
      </w:tr>
      <w:tr>
        <w:tc>
          <w:tcPr>
            <w:tcW w:type="dxa" w:w="3456"/>
          </w:tcPr>
          <w:p>
            <w:pPr>
              <w:spacing w:after="20"/>
            </w:pPr>
            <w:r>
              <w:rPr>
                <w:rFonts w:ascii="Arial" w:hAnsi="Arial"/>
                <w:b w:val="0"/>
                <w:i w:val="0"/>
                <w:color w:val="232830"/>
                <w:sz w:val="16"/>
              </w:rPr>
              <w:t>Presentation and baseline deviation</w:t>
            </w:r>
          </w:p>
        </w:tc>
        <w:tc>
          <w:tcPr>
            <w:tcW w:type="dxa" w:w="3456"/>
          </w:tcPr>
          <w:p>
            <w:pPr>
              <w:spacing w:after="20"/>
            </w:pPr>
            <w:r>
              <w:rPr>
                <w:rFonts w:ascii="Arial" w:hAnsi="Arial"/>
                <w:b w:val="0"/>
                <w:i w:val="0"/>
                <w:color w:val="232830"/>
                <w:sz w:val="16"/>
              </w:rPr>
              <w:t>EW1, EW7</w:t>
            </w:r>
          </w:p>
        </w:tc>
        <w:tc>
          <w:tcPr>
            <w:tcW w:type="dxa" w:w="3456"/>
          </w:tcPr>
          <w:p>
            <w:pPr>
              <w:spacing w:after="20"/>
            </w:pPr>
            <w:r>
              <w:rPr>
                <w:rFonts w:ascii="Arial" w:hAnsi="Arial"/>
                <w:b w:val="0"/>
                <w:i w:val="0"/>
                <w:color w:val="232830"/>
                <w:sz w:val="16"/>
              </w:rPr>
              <w:t>Establish family-observed change from baseline and outpatient functional/cognitive comparator.</w:t>
            </w:r>
          </w:p>
        </w:tc>
      </w:tr>
      <w:tr>
        <w:tc>
          <w:tcPr>
            <w:tcW w:type="dxa" w:w="3456"/>
            <w:shd w:val="clear" w:fill="EDF2FA"/>
          </w:tcPr>
          <w:p>
            <w:pPr>
              <w:spacing w:after="20"/>
            </w:pPr>
            <w:r>
              <w:rPr>
                <w:rFonts w:ascii="Arial" w:hAnsi="Arial"/>
                <w:b w:val="0"/>
                <w:i w:val="0"/>
                <w:color w:val="232830"/>
                <w:sz w:val="16"/>
              </w:rPr>
              <w:t>Hospitalist evolution</w:t>
            </w:r>
          </w:p>
        </w:tc>
        <w:tc>
          <w:tcPr>
            <w:tcW w:type="dxa" w:w="3456"/>
            <w:shd w:val="clear" w:fill="EDF2FA"/>
          </w:tcPr>
          <w:p>
            <w:pPr>
              <w:spacing w:after="20"/>
            </w:pPr>
            <w:r>
              <w:rPr>
                <w:rFonts w:ascii="Arial" w:hAnsi="Arial"/>
                <w:b w:val="0"/>
                <w:i w:val="0"/>
                <w:color w:val="232830"/>
                <w:sz w:val="16"/>
              </w:rPr>
              <w:t>EW9, EW11</w:t>
            </w:r>
          </w:p>
        </w:tc>
        <w:tc>
          <w:tcPr>
            <w:tcW w:type="dxa" w:w="3456"/>
            <w:shd w:val="clear" w:fill="EDF2FA"/>
          </w:tcPr>
          <w:p>
            <w:pPr>
              <w:spacing w:after="20"/>
            </w:pPr>
            <w:r>
              <w:rPr>
                <w:rFonts w:ascii="Arial" w:hAnsi="Arial"/>
                <w:b w:val="0"/>
                <w:i w:val="0"/>
                <w:color w:val="232830"/>
                <w:sz w:val="16"/>
              </w:rPr>
              <w:t>Identify transition from acute stabilization to functional/discharge-readiness concerns and HD5-HD6 uncertainty.</w:t>
            </w:r>
          </w:p>
        </w:tc>
      </w:tr>
      <w:tr>
        <w:tc>
          <w:tcPr>
            <w:tcW w:type="dxa" w:w="3456"/>
          </w:tcPr>
          <w:p>
            <w:pPr>
              <w:spacing w:after="20"/>
            </w:pPr>
            <w:r>
              <w:rPr>
                <w:rFonts w:ascii="Arial" w:hAnsi="Arial"/>
                <w:b w:val="0"/>
                <w:i w:val="0"/>
                <w:color w:val="232830"/>
                <w:sz w:val="16"/>
              </w:rPr>
              <w:t>Objective trends</w:t>
            </w:r>
          </w:p>
        </w:tc>
        <w:tc>
          <w:tcPr>
            <w:tcW w:type="dxa" w:w="3456"/>
          </w:tcPr>
          <w:p>
            <w:pPr>
              <w:spacing w:after="20"/>
            </w:pPr>
            <w:r>
              <w:rPr>
                <w:rFonts w:ascii="Arial" w:hAnsi="Arial"/>
                <w:b w:val="0"/>
                <w:i w:val="0"/>
                <w:color w:val="232830"/>
                <w:sz w:val="16"/>
              </w:rPr>
              <w:t>EW12</w:t>
            </w:r>
          </w:p>
        </w:tc>
        <w:tc>
          <w:tcPr>
            <w:tcW w:type="dxa" w:w="3456"/>
          </w:tcPr>
          <w:p>
            <w:pPr>
              <w:spacing w:after="20"/>
            </w:pPr>
            <w:r>
              <w:rPr>
                <w:rFonts w:ascii="Arial" w:hAnsi="Arial"/>
                <w:b w:val="0"/>
                <w:i w:val="0"/>
                <w:color w:val="232830"/>
                <w:sz w:val="16"/>
              </w:rPr>
              <w:t>Separate medical improvement from practical readiness.</w:t>
            </w:r>
          </w:p>
        </w:tc>
      </w:tr>
      <w:tr>
        <w:tc>
          <w:tcPr>
            <w:tcW w:type="dxa" w:w="3456"/>
            <w:shd w:val="clear" w:fill="EDF2FA"/>
          </w:tcPr>
          <w:p>
            <w:pPr>
              <w:spacing w:after="20"/>
            </w:pPr>
            <w:r>
              <w:rPr>
                <w:rFonts w:ascii="Arial" w:hAnsi="Arial"/>
                <w:b w:val="0"/>
                <w:i w:val="0"/>
                <w:color w:val="232830"/>
                <w:sz w:val="16"/>
              </w:rPr>
              <w:t>Nursing and therapy evidence</w:t>
            </w:r>
          </w:p>
        </w:tc>
        <w:tc>
          <w:tcPr>
            <w:tcW w:type="dxa" w:w="3456"/>
            <w:shd w:val="clear" w:fill="EDF2FA"/>
          </w:tcPr>
          <w:p>
            <w:pPr>
              <w:spacing w:after="20"/>
            </w:pPr>
            <w:r>
              <w:rPr>
                <w:rFonts w:ascii="Arial" w:hAnsi="Arial"/>
                <w:b w:val="0"/>
                <w:i w:val="0"/>
                <w:color w:val="232830"/>
                <w:sz w:val="16"/>
              </w:rPr>
              <w:t>EW17, EW18, EW19</w:t>
            </w:r>
          </w:p>
        </w:tc>
        <w:tc>
          <w:tcPr>
            <w:tcW w:type="dxa" w:w="3456"/>
            <w:shd w:val="clear" w:fill="EDF2FA"/>
          </w:tcPr>
          <w:p>
            <w:pPr>
              <w:spacing w:after="20"/>
            </w:pPr>
            <w:r>
              <w:rPr>
                <w:rFonts w:ascii="Arial" w:hAnsi="Arial"/>
                <w:b w:val="0"/>
                <w:i w:val="0"/>
                <w:color w:val="232830"/>
                <w:sz w:val="16"/>
              </w:rPr>
              <w:t>Review buried functional, cognitive, ADL, mobility, and medication-management evidence.</w:t>
            </w:r>
          </w:p>
        </w:tc>
      </w:tr>
      <w:tr>
        <w:tc>
          <w:tcPr>
            <w:tcW w:type="dxa" w:w="3456"/>
          </w:tcPr>
          <w:p>
            <w:pPr>
              <w:spacing w:after="20"/>
            </w:pPr>
            <w:r>
              <w:rPr>
                <w:rFonts w:ascii="Arial" w:hAnsi="Arial"/>
                <w:b w:val="0"/>
                <w:i w:val="0"/>
                <w:color w:val="232830"/>
                <w:sz w:val="16"/>
              </w:rPr>
              <w:t>Family communication</w:t>
            </w:r>
          </w:p>
        </w:tc>
        <w:tc>
          <w:tcPr>
            <w:tcW w:type="dxa" w:w="3456"/>
          </w:tcPr>
          <w:p>
            <w:pPr>
              <w:spacing w:after="20"/>
            </w:pPr>
            <w:r>
              <w:rPr>
                <w:rFonts w:ascii="Arial" w:hAnsi="Arial"/>
                <w:b w:val="0"/>
                <w:i w:val="0"/>
                <w:color w:val="232830"/>
                <w:sz w:val="16"/>
              </w:rPr>
              <w:t>EW20</w:t>
            </w:r>
          </w:p>
        </w:tc>
        <w:tc>
          <w:tcPr>
            <w:tcW w:type="dxa" w:w="3456"/>
          </w:tcPr>
          <w:p>
            <w:pPr>
              <w:spacing w:after="20"/>
            </w:pPr>
            <w:r>
              <w:rPr>
                <w:rFonts w:ascii="Arial" w:hAnsi="Arial"/>
                <w:b w:val="0"/>
                <w:i w:val="0"/>
                <w:color w:val="232830"/>
                <w:sz w:val="16"/>
              </w:rPr>
              <w:t>Understand meaningful family concerns without making family report independently dispositive.</w:t>
            </w:r>
          </w:p>
        </w:tc>
      </w:tr>
      <w:tr>
        <w:tc>
          <w:tcPr>
            <w:tcW w:type="dxa" w:w="3456"/>
            <w:shd w:val="clear" w:fill="EDF2FA"/>
          </w:tcPr>
          <w:p>
            <w:pPr>
              <w:spacing w:after="20"/>
            </w:pPr>
            <w:r>
              <w:rPr>
                <w:rFonts w:ascii="Arial" w:hAnsi="Arial"/>
                <w:b w:val="0"/>
                <w:i w:val="0"/>
                <w:color w:val="232830"/>
                <w:sz w:val="16"/>
              </w:rPr>
              <w:t>Case management / social work</w:t>
            </w:r>
          </w:p>
        </w:tc>
        <w:tc>
          <w:tcPr>
            <w:tcW w:type="dxa" w:w="3456"/>
            <w:shd w:val="clear" w:fill="EDF2FA"/>
          </w:tcPr>
          <w:p>
            <w:pPr>
              <w:spacing w:after="20"/>
            </w:pPr>
            <w:r>
              <w:rPr>
                <w:rFonts w:ascii="Arial" w:hAnsi="Arial"/>
                <w:b w:val="0"/>
                <w:i w:val="0"/>
                <w:color w:val="232830"/>
                <w:sz w:val="16"/>
              </w:rPr>
              <w:t>EW21</w:t>
            </w:r>
          </w:p>
        </w:tc>
        <w:tc>
          <w:tcPr>
            <w:tcW w:type="dxa" w:w="3456"/>
            <w:shd w:val="clear" w:fill="EDF2FA"/>
          </w:tcPr>
          <w:p>
            <w:pPr>
              <w:spacing w:after="20"/>
            </w:pPr>
            <w:r>
              <w:rPr>
                <w:rFonts w:ascii="Arial" w:hAnsi="Arial"/>
                <w:b w:val="0"/>
                <w:i w:val="0"/>
                <w:color w:val="232830"/>
                <w:sz w:val="16"/>
              </w:rPr>
              <w:t>Review services, equipment, support, and transition logistics.</w:t>
            </w:r>
          </w:p>
        </w:tc>
      </w:tr>
      <w:tr>
        <w:tc>
          <w:tcPr>
            <w:tcW w:type="dxa" w:w="3456"/>
          </w:tcPr>
          <w:p>
            <w:pPr>
              <w:spacing w:after="20"/>
            </w:pPr>
            <w:r>
              <w:rPr>
                <w:rFonts w:ascii="Arial" w:hAnsi="Arial"/>
                <w:b w:val="0"/>
                <w:i w:val="0"/>
                <w:color w:val="232830"/>
                <w:sz w:val="16"/>
              </w:rPr>
              <w:t>Discharge-facing snapshot</w:t>
            </w:r>
          </w:p>
        </w:tc>
        <w:tc>
          <w:tcPr>
            <w:tcW w:type="dxa" w:w="3456"/>
          </w:tcPr>
          <w:p>
            <w:pPr>
              <w:spacing w:after="20"/>
            </w:pPr>
            <w:r>
              <w:rPr>
                <w:rFonts w:ascii="Arial" w:hAnsi="Arial"/>
                <w:b w:val="0"/>
                <w:i w:val="0"/>
                <w:color w:val="232830"/>
                <w:sz w:val="16"/>
              </w:rPr>
              <w:t>EW22</w:t>
            </w:r>
          </w:p>
        </w:tc>
        <w:tc>
          <w:tcPr>
            <w:tcW w:type="dxa" w:w="3456"/>
          </w:tcPr>
          <w:p>
            <w:pPr>
              <w:spacing w:after="20"/>
            </w:pPr>
            <w:r>
              <w:rPr>
                <w:rFonts w:ascii="Arial" w:hAnsi="Arial"/>
                <w:b w:val="0"/>
                <w:i w:val="0"/>
                <w:color w:val="232830"/>
                <w:sz w:val="16"/>
              </w:rPr>
              <w:t>Reconcile the visible plan against less-visible evidence and incomplete caveats.</w:t>
            </w:r>
          </w:p>
        </w:tc>
      </w:tr>
    </w:tbl>
    <w:p>
      <w:pPr>
        <w:spacing w:after="0"/>
      </w:pPr>
    </w:p>
    <w:p>
      <w:r>
        <w:rPr>
          <w:rFonts w:ascii="Arial" w:hAnsi="Arial"/>
          <w:b w:val="0"/>
          <w:i w:val="0"/>
          <w:color w:val="232830"/>
          <w:sz w:val="19"/>
        </w:rPr>
        <w:t>Other locked files may be needed for medication, consultant, steroid, or hospital-course context if discharge readiness depends on those issues.</w:t>
      </w:r>
    </w:p>
    <w:p>
      <w:pPr>
        <w:spacing w:before="180" w:after="60"/>
        <w:pBdr>
          <w:bottom w:val="single" w:sz="6" w:color="C9D4EA" w:space="2"/>
        </w:pBdr>
      </w:pPr>
      <w:r>
        <w:rPr>
          <w:rFonts w:ascii="Arial" w:hAnsi="Arial"/>
          <w:b/>
          <w:i w:val="0"/>
          <w:color w:val="4472C4"/>
          <w:sz w:val="20"/>
        </w:rPr>
        <w:t>CARE-COORDINATION FOCUS</w:t>
      </w:r>
    </w:p>
    <w:p>
      <w:r>
        <w:rPr>
          <w:rFonts w:ascii="Arial" w:hAnsi="Arial"/>
          <w:b w:val="0"/>
          <w:i w:val="0"/>
          <w:color w:val="232830"/>
          <w:sz w:val="19"/>
        </w:rPr>
        <w:t>The future care-coordination review should be oriented to:</w:t>
      </w:r>
    </w:p>
    <w:p>
      <w:pPr>
        <w:pStyle w:val="ListBullet"/>
        <w:spacing w:after="30"/>
      </w:pPr>
      <w:r>
        <w:rPr>
          <w:rFonts w:ascii="Arial" w:hAnsi="Arial"/>
          <w:b w:val="0"/>
          <w:i w:val="0"/>
          <w:color w:val="232830"/>
          <w:sz w:val="19"/>
        </w:rPr>
        <w:t>whether the visible discharge plan accounts for functional status;</w:t>
      </w:r>
    </w:p>
    <w:p>
      <w:pPr>
        <w:pStyle w:val="ListBullet"/>
        <w:spacing w:after="30"/>
      </w:pPr>
      <w:r>
        <w:rPr>
          <w:rFonts w:ascii="Arial" w:hAnsi="Arial"/>
          <w:b w:val="0"/>
          <w:i w:val="0"/>
          <w:color w:val="232830"/>
          <w:sz w:val="19"/>
        </w:rPr>
        <w:t>whether home support and caregiver capacity align with current assistance needs;</w:t>
      </w:r>
    </w:p>
    <w:p>
      <w:pPr>
        <w:pStyle w:val="ListBullet"/>
        <w:spacing w:after="30"/>
      </w:pPr>
      <w:r>
        <w:rPr>
          <w:rFonts w:ascii="Arial" w:hAnsi="Arial"/>
          <w:b w:val="0"/>
          <w:i w:val="0"/>
          <w:color w:val="232830"/>
          <w:sz w:val="19"/>
        </w:rPr>
        <w:t>whether cognitive or medication-management concerns alter transition risk;</w:t>
      </w:r>
    </w:p>
    <w:p>
      <w:pPr>
        <w:pStyle w:val="ListBullet"/>
        <w:spacing w:after="30"/>
      </w:pPr>
      <w:r>
        <w:rPr>
          <w:rFonts w:ascii="Arial" w:hAnsi="Arial"/>
          <w:b w:val="0"/>
          <w:i w:val="0"/>
          <w:color w:val="232830"/>
          <w:sz w:val="19"/>
        </w:rPr>
        <w:t>whether follow-up and services address unresolved safety concerns;</w:t>
      </w:r>
    </w:p>
    <w:p>
      <w:pPr>
        <w:pStyle w:val="ListBullet"/>
        <w:spacing w:after="30"/>
      </w:pPr>
      <w:r>
        <w:rPr>
          <w:rFonts w:ascii="Arial" w:hAnsi="Arial"/>
          <w:b w:val="0"/>
          <w:i w:val="0"/>
          <w:color w:val="232830"/>
          <w:sz w:val="19"/>
        </w:rPr>
        <w:t>whether family concerns reflect baseline knowledge rather than generic resistance;</w:t>
      </w:r>
    </w:p>
    <w:p>
      <w:pPr>
        <w:pStyle w:val="ListBullet"/>
        <w:spacing w:after="30"/>
      </w:pPr>
      <w:r>
        <w:rPr>
          <w:rFonts w:ascii="Arial" w:hAnsi="Arial"/>
          <w:b w:val="0"/>
          <w:i w:val="0"/>
          <w:color w:val="232830"/>
          <w:sz w:val="19"/>
        </w:rPr>
        <w:t>whether objective improvement is enough for the proposed transition;</w:t>
      </w:r>
    </w:p>
    <w:p>
      <w:pPr>
        <w:pStyle w:val="ListBullet"/>
        <w:spacing w:after="30"/>
      </w:pPr>
      <w:r>
        <w:rPr>
          <w:rFonts w:ascii="Arial" w:hAnsi="Arial"/>
          <w:b w:val="0"/>
          <w:i w:val="0"/>
          <w:color w:val="232830"/>
          <w:sz w:val="19"/>
        </w:rPr>
        <w:t>whether EW22 misses caveats found elsewhere.</w:t>
      </w:r>
    </w:p>
    <w:p>
      <w:r>
        <w:rPr>
          <w:rFonts w:ascii="Arial" w:hAnsi="Arial"/>
          <w:b w:val="0"/>
          <w:i w:val="0"/>
          <w:color w:val="232830"/>
          <w:sz w:val="19"/>
        </w:rPr>
        <w:t>This file does not decide home discharge, facility placement, service approval, equipment, or final safety.</w:t>
      </w:r>
    </w:p>
    <w:p>
      <w:pPr>
        <w:spacing w:before="180" w:after="60"/>
        <w:pBdr>
          <w:bottom w:val="single" w:sz="6" w:color="C9D4EA" w:space="2"/>
        </w:pBdr>
      </w:pPr>
      <w:r>
        <w:rPr>
          <w:rFonts w:ascii="Arial" w:hAnsi="Arial"/>
          <w:b/>
          <w:i w:val="0"/>
          <w:color w:val="4472C4"/>
          <w:sz w:val="20"/>
        </w:rPr>
        <w:t>TRAP PRESERVATION</w:t>
      </w:r>
    </w:p>
    <w:p>
      <w:r>
        <w:rPr>
          <w:rFonts w:ascii="Arial" w:hAnsi="Arial"/>
          <w:b w:val="0"/>
          <w:i w:val="0"/>
          <w:color w:val="232830"/>
          <w:sz w:val="19"/>
        </w:rPr>
        <w:t>Trap #3 is primary. Functional and cognitive evidence remains buried and distributed across nursing, PT, OT, family, and care-coordination sources. This file intentionally does not summarize all of that evidence.</w:t>
      </w:r>
    </w:p>
    <w:p>
      <w:r>
        <w:rPr>
          <w:rFonts w:ascii="Arial" w:hAnsi="Arial"/>
          <w:b w:val="0"/>
          <w:i w:val="0"/>
          <w:color w:val="232830"/>
          <w:sz w:val="19"/>
        </w:rPr>
        <w:t>Trap #5 is primary. EW22 may appear reassuring, but the future reviewer must reconcile it with the broader chart.</w:t>
      </w:r>
    </w:p>
    <w:p>
      <w:r>
        <w:rPr>
          <w:rFonts w:ascii="Arial" w:hAnsi="Arial"/>
          <w:b w:val="0"/>
          <w:i w:val="0"/>
          <w:color w:val="232830"/>
          <w:sz w:val="19"/>
        </w:rPr>
        <w:t>Trap #3 and Trap #5 remain distinct. The issue is both finding buried evidence and avoiding over-trust of a visible source after it is found.</w:t>
      </w:r>
    </w:p>
    <w:p>
      <w:pPr>
        <w:spacing w:before="180" w:after="60"/>
        <w:pBdr>
          <w:bottom w:val="single" w:sz="6" w:color="C9D4EA" w:space="2"/>
        </w:pBdr>
      </w:pPr>
      <w:r>
        <w:rPr>
          <w:rFonts w:ascii="Arial" w:hAnsi="Arial"/>
          <w:b/>
          <w:i w:val="0"/>
          <w:color w:val="4472C4"/>
          <w:sz w:val="20"/>
        </w:rPr>
        <w:t>FRICTION PRESERVATION</w:t>
      </w:r>
    </w:p>
    <w:p>
      <w:r>
        <w:rPr>
          <w:rFonts w:ascii="Arial" w:hAnsi="Arial"/>
          <w:b w:val="0"/>
          <w:i w:val="0"/>
          <w:color w:val="232830"/>
          <w:sz w:val="19"/>
        </w:rPr>
        <w:t>Family vs Primary Team remains balanced. Family concerns are meaningful because Mara Merrow knows Korvin's baseline and home context. The Primary Team remains defensible because infection, renal trajectory, mental status, oral intake, and discharge planning appear improved enough to consider transition.</w:t>
      </w:r>
    </w:p>
    <w:p>
      <w:r>
        <w:rPr>
          <w:rFonts w:ascii="Arial" w:hAnsi="Arial"/>
          <w:b w:val="0"/>
          <w:i w:val="0"/>
          <w:color w:val="232830"/>
          <w:sz w:val="19"/>
        </w:rPr>
        <w:t>This file does not make either side obviously correct or careless.</w:t>
      </w:r>
    </w:p>
    <w:p>
      <w:pPr>
        <w:spacing w:before="180" w:after="60"/>
        <w:pBdr>
          <w:bottom w:val="single" w:sz="6" w:color="C9D4EA" w:space="2"/>
        </w:pBdr>
      </w:pPr>
      <w:r>
        <w:rPr>
          <w:rFonts w:ascii="Arial" w:hAnsi="Arial"/>
          <w:b/>
          <w:i w:val="0"/>
          <w:color w:val="4472C4"/>
          <w:sz w:val="20"/>
        </w:rPr>
        <w:t>SOURCE-OF-TRUTH SAFEGUARDS</w:t>
      </w:r>
    </w:p>
    <w:p>
      <w:pPr>
        <w:pStyle w:val="ListBullet"/>
        <w:spacing w:after="30"/>
      </w:pPr>
      <w:r>
        <w:rPr>
          <w:rFonts w:ascii="Arial" w:hAnsi="Arial"/>
          <w:b w:val="0"/>
          <w:i w:val="0"/>
          <w:color w:val="232830"/>
          <w:sz w:val="19"/>
        </w:rPr>
        <w:t>Authority hierarchy governs role-based disposition interpretation and decision ownership.</w:t>
      </w:r>
    </w:p>
    <w:p>
      <w:pPr>
        <w:pStyle w:val="ListBullet"/>
        <w:spacing w:after="30"/>
      </w:pPr>
      <w:r>
        <w:rPr>
          <w:rFonts w:ascii="Arial" w:hAnsi="Arial"/>
          <w:b w:val="0"/>
          <w:i w:val="0"/>
          <w:color w:val="232830"/>
          <w:sz w:val="19"/>
        </w:rPr>
        <w:t>Source-of-truth hierarchy governs factual conflict resolution.</w:t>
      </w:r>
    </w:p>
    <w:p>
      <w:pPr>
        <w:pStyle w:val="ListBullet"/>
        <w:spacing w:after="30"/>
      </w:pPr>
      <w:r>
        <w:rPr>
          <w:rFonts w:ascii="Arial" w:hAnsi="Arial"/>
          <w:b w:val="0"/>
          <w:i w:val="0"/>
          <w:color w:val="232830"/>
          <w:sz w:val="19"/>
        </w:rPr>
        <w:t>PT/OT, nursing, case management, social work, and family sources retain evidence roles but do not become final disposition authorities.</w:t>
      </w:r>
    </w:p>
    <w:p>
      <w:pPr>
        <w:pStyle w:val="ListBullet"/>
        <w:spacing w:after="30"/>
      </w:pPr>
      <w:r>
        <w:rPr>
          <w:rFonts w:ascii="Arial" w:hAnsi="Arial"/>
          <w:b w:val="0"/>
          <w:i w:val="0"/>
          <w:color w:val="232830"/>
          <w:sz w:val="19"/>
        </w:rPr>
        <w:t>Hospitalist synthesis remains necessary and must be informed by the full chart.</w:t>
      </w:r>
    </w:p>
    <w:p>
      <w:pPr>
        <w:spacing w:before="180" w:after="60"/>
        <w:pBdr>
          <w:bottom w:val="single" w:sz="6" w:color="C9D4EA" w:space="2"/>
        </w:pBdr>
      </w:pPr>
      <w:r>
        <w:rPr>
          <w:rFonts w:ascii="Arial" w:hAnsi="Arial"/>
          <w:b/>
          <w:i w:val="0"/>
          <w:color w:val="4472C4"/>
          <w:sz w:val="20"/>
        </w:rPr>
        <w:t>PROHIBITED CONTENT</w:t>
      </w:r>
    </w:p>
    <w:p>
      <w:r>
        <w:rPr>
          <w:rFonts w:ascii="Arial" w:hAnsi="Arial"/>
          <w:b w:val="0"/>
          <w:i w:val="0"/>
          <w:color w:val="232830"/>
          <w:sz w:val="19"/>
        </w:rPr>
        <w:t>This file does not contain:</w:t>
      </w:r>
    </w:p>
    <w:p>
      <w:pPr>
        <w:pStyle w:val="ListBullet"/>
        <w:spacing w:after="30"/>
      </w:pPr>
      <w:r>
        <w:rPr>
          <w:rFonts w:ascii="Arial" w:hAnsi="Arial"/>
          <w:b w:val="0"/>
          <w:i w:val="0"/>
          <w:color w:val="232830"/>
          <w:sz w:val="19"/>
        </w:rPr>
        <w:t>a final disposition order;</w:t>
      </w:r>
    </w:p>
    <w:p>
      <w:pPr>
        <w:pStyle w:val="ListBullet"/>
        <w:spacing w:after="30"/>
      </w:pPr>
      <w:r>
        <w:rPr>
          <w:rFonts w:ascii="Arial" w:hAnsi="Arial"/>
          <w:b w:val="0"/>
          <w:i w:val="0"/>
          <w:color w:val="232830"/>
          <w:sz w:val="19"/>
        </w:rPr>
        <w:t>final service authorization;</w:t>
      </w:r>
    </w:p>
    <w:p>
      <w:pPr>
        <w:pStyle w:val="ListBullet"/>
        <w:spacing w:after="30"/>
      </w:pPr>
      <w:r>
        <w:rPr>
          <w:rFonts w:ascii="Arial" w:hAnsi="Arial"/>
          <w:b w:val="0"/>
          <w:i w:val="0"/>
          <w:color w:val="232830"/>
          <w:sz w:val="19"/>
        </w:rPr>
        <w:t>a definitive safe/unsafe discharge answer;</w:t>
      </w:r>
    </w:p>
    <w:p>
      <w:pPr>
        <w:pStyle w:val="ListBullet"/>
        <w:spacing w:after="30"/>
      </w:pPr>
      <w:r>
        <w:rPr>
          <w:rFonts w:ascii="Arial" w:hAnsi="Arial"/>
          <w:b w:val="0"/>
          <w:i w:val="0"/>
          <w:color w:val="232830"/>
          <w:sz w:val="19"/>
        </w:rPr>
        <w:t>a completed care-coordination plan;</w:t>
      </w:r>
    </w:p>
    <w:p>
      <w:pPr>
        <w:pStyle w:val="ListBullet"/>
        <w:spacing w:after="30"/>
      </w:pPr>
      <w:r>
        <w:rPr>
          <w:rFonts w:ascii="Arial" w:hAnsi="Arial"/>
          <w:b w:val="0"/>
          <w:i w:val="0"/>
          <w:color w:val="232830"/>
          <w:sz w:val="19"/>
        </w:rPr>
        <w:t>a replacement for PT/OT/family/CM evidence;</w:t>
      </w:r>
    </w:p>
    <w:p>
      <w:pPr>
        <w:pStyle w:val="ListBullet"/>
        <w:spacing w:after="30"/>
      </w:pPr>
      <w:r>
        <w:rPr>
          <w:rFonts w:ascii="Arial" w:hAnsi="Arial"/>
          <w:b w:val="0"/>
          <w:i w:val="0"/>
          <w:color w:val="232830"/>
          <w:sz w:val="19"/>
        </w:rPr>
        <w:t>a task prompt;</w:t>
      </w:r>
    </w:p>
    <w:p>
      <w:pPr>
        <w:pStyle w:val="ListBullet"/>
        <w:spacing w:after="30"/>
      </w:pPr>
      <w:r>
        <w:rPr>
          <w:rFonts w:ascii="Arial" w:hAnsi="Arial"/>
          <w:b w:val="0"/>
          <w:i w:val="0"/>
          <w:color w:val="232830"/>
          <w:sz w:val="19"/>
        </w:rPr>
        <w:t>an expected output;</w:t>
      </w:r>
    </w:p>
    <w:p>
      <w:pPr>
        <w:pStyle w:val="ListBullet"/>
        <w:spacing w:after="30"/>
      </w:pPr>
      <w:r>
        <w:rPr>
          <w:rFonts w:ascii="Arial" w:hAnsi="Arial"/>
          <w:b w:val="0"/>
          <w:i w:val="0"/>
          <w:color w:val="232830"/>
          <w:sz w:val="19"/>
        </w:rPr>
        <w:t>a golden response;</w:t>
      </w:r>
    </w:p>
    <w:p>
      <w:pPr>
        <w:pStyle w:val="ListBullet"/>
        <w:spacing w:after="30"/>
      </w:pPr>
      <w:r>
        <w:rPr>
          <w:rFonts w:ascii="Arial" w:hAnsi="Arial"/>
          <w:b w:val="0"/>
          <w:i w:val="0"/>
          <w:color w:val="232830"/>
          <w:sz w:val="19"/>
        </w:rPr>
        <w:t>grader guidance;</w:t>
      </w:r>
    </w:p>
    <w:p>
      <w:pPr>
        <w:pStyle w:val="ListBullet"/>
        <w:spacing w:after="30"/>
      </w:pPr>
      <w:r>
        <w:rPr>
          <w:rFonts w:ascii="Arial" w:hAnsi="Arial"/>
          <w:b w:val="0"/>
          <w:i w:val="0"/>
          <w:color w:val="232830"/>
          <w:sz w:val="19"/>
        </w:rPr>
        <w:t>post-world clinical events.</w:t>
      </w:r>
    </w:p>
    <w:p>
      <w:pPr>
        <w:spacing w:before="180" w:after="60"/>
        <w:pBdr>
          <w:bottom w:val="single" w:sz="6" w:color="C9D4EA" w:space="2"/>
        </w:pBdr>
      </w:pPr>
      <w:r>
        <w:rPr>
          <w:rFonts w:ascii="Arial" w:hAnsi="Arial"/>
          <w:b/>
          <w:i w:val="0"/>
          <w:color w:val="4472C4"/>
          <w:sz w:val="20"/>
        </w:rPr>
        <w:t>CANDIDATE REVIEW NOTE</w:t>
      </w:r>
    </w:p>
    <w:p>
      <w:r>
        <w:rPr>
          <w:rFonts w:ascii="Arial" w:hAnsi="Arial"/>
          <w:b w:val="0"/>
          <w:i w:val="0"/>
          <w:color w:val="232830"/>
          <w:sz w:val="19"/>
        </w:rPr>
        <w:t>Candidate reviewers should verify that this file forces review of distributed functional/discharge evidence while preserving Family vs Primary Team defensibility and EW22 incompleteness.</w:t>
      </w:r>
    </w:p>
    <w:p>
      <w:pPr>
        <w:spacing w:before="200"/>
        <w:pBdr>
          <w:top w:val="single" w:sz="4" w:color="C9D4EA" w:space="4"/>
        </w:pBdr>
      </w:pPr>
      <w:r>
        <w:rPr>
          <w:rFonts w:ascii="Arial" w:hAnsi="Arial"/>
          <w:b w:val="0"/>
          <w:i/>
          <w:color w:val="5E6670"/>
          <w:sz w:val="18"/>
        </w:rPr>
        <w:t>Electronically signed by Clinical staff  |  Care Coordination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c>
          <w:tcPr>
            <w:tcW w:type="dxa" w:w="10368"/>
            <w:shd w:val="clear" w:fill="FFF8E1"/>
          </w:tcPr>
          <w:p>
            <w:pPr>
              <w:spacing w:before="40" w:after="40"/>
              <w:jc w:val="center"/>
            </w:pPr>
            <w:r>
              <w:rPr>
                <w:rFonts w:ascii="Arial" w:hAnsi="Arial"/>
                <w:b/>
                <w:i w:val="0"/>
                <w:color w:val="9A6000"/>
                <w:sz w:val="16"/>
              </w:rPr>
              <w:t>SYNTHETIC TRAINING DOCUMENT  |  FICTIONAL PATIENT  |  NOT A REAL MEDICAL RECORD</w:t>
            </w:r>
          </w:p>
        </w:tc>
      </w:tr>
    </w:tbl>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Discharge readiness / care coordination request context  |  Synthetic training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  |  DOB 02/18/1964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