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05/22/2026-05/23/2026 before 18:00 / HD5-HD6</w:t>
            </w:r>
          </w:p>
        </w:tc>
        <w:tc>
          <w:tcPr>
            <w:tcW w:type="dxa" w:w="2592"/>
            <w:shd w:val="clear" w:fill="EDF2FA"/>
          </w:tcPr>
          <w:p>
            <w:r>
              <w:rPr>
                <w:rFonts w:ascii="Arial" w:hAnsi="Arial"/>
                <w:b/>
                <w:i w:val="0"/>
                <w:color w:val="5E6670"/>
                <w:sz w:val="14"/>
              </w:rPr>
              <w:t>Source</w:t>
              <w:br/>
            </w:r>
            <w:r>
              <w:rPr>
                <w:rFonts w:ascii="Arial" w:hAnsi="Arial"/>
                <w:b w:val="0"/>
                <w:i w:val="0"/>
                <w:color w:val="232830"/>
                <w:sz w:val="16"/>
              </w:rPr>
              <w:t>Hospitalist Service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HD5-HD6 hospitalist discharge-planning progress documentation</w:t>
            </w:r>
          </w:p>
        </w:tc>
      </w:tr>
    </w:tbl>
    <w:p>
      <w:pPr>
        <w:spacing w:after="0"/>
      </w:pPr>
    </w:p>
    <w:p>
      <w:pPr>
        <w:spacing w:after="20"/>
      </w:pPr>
      <w:r>
        <w:rPr>
          <w:rFonts w:ascii="Arial" w:hAnsi="Arial"/>
          <w:b/>
          <w:i w:val="0"/>
          <w:color w:val="1F3864"/>
          <w:sz w:val="28"/>
        </w:rPr>
        <w:t>HD5-HD6 HOSPITALIST DISCHARGE-PLANNING PROGRESS DOCUMENTATION</w:t>
      </w:r>
    </w:p>
    <w:p>
      <w:pPr>
        <w:spacing w:after="120"/>
      </w:pPr>
      <w:r>
        <w:rPr>
          <w:rFonts w:ascii="Arial" w:hAnsi="Arial"/>
          <w:b w:val="0"/>
          <w:i w:val="0"/>
          <w:color w:val="5E6670"/>
          <w:sz w:val="16"/>
        </w:rPr>
        <w:t>Author: Hospitalist Service  |  Department: Hospital Medicine  |  05/22/2026-05/23/2026 before 18:00 / HD5-HD6  |  Status: Signed</w:t>
      </w:r>
    </w:p>
    <w:p>
      <w:pPr>
        <w:spacing w:before="180" w:after="60"/>
        <w:pBdr>
          <w:bottom w:val="single" w:sz="6" w:color="C9D4EA" w:space="2"/>
        </w:pBdr>
      </w:pPr>
      <w:r>
        <w:rPr>
          <w:rFonts w:ascii="Arial" w:hAnsi="Arial"/>
          <w:b/>
          <w:i w:val="0"/>
          <w:color w:val="4472C4"/>
          <w:sz w:val="20"/>
        </w:rPr>
        <w:t>HOSPITALIST DISCHARGE-PLANNING PROGRESS DOCUMENTATION</w:t>
      </w:r>
    </w:p>
    <w:p>
      <w:r>
        <w:rPr>
          <w:rFonts w:ascii="Arial" w:hAnsi="Arial"/>
          <w:b w:val="0"/>
          <w:i w:val="0"/>
          <w:color w:val="232830"/>
          <w:sz w:val="19"/>
        </w:rPr>
        <w:t>Patient: Korvin Merrow</w:t>
      </w:r>
    </w:p>
    <w:p>
      <w:r>
        <w:rPr>
          <w:rFonts w:ascii="Arial" w:hAnsi="Arial"/>
          <w:b w:val="0"/>
          <w:i w:val="0"/>
          <w:color w:val="232830"/>
          <w:sz w:val="19"/>
        </w:rPr>
        <w:t>Service: Hospitalist Service</w:t>
      </w:r>
    </w:p>
    <w:p>
      <w:r>
        <w:rPr>
          <w:rFonts w:ascii="Arial" w:hAnsi="Arial"/>
          <w:b w:val="0"/>
          <w:i w:val="0"/>
          <w:color w:val="232830"/>
          <w:sz w:val="19"/>
        </w:rPr>
        <w:t>Hospital Days Covered: HD5-HD6</w:t>
      </w:r>
    </w:p>
    <w:p>
      <w:r>
        <w:rPr>
          <w:rFonts w:ascii="Arial" w:hAnsi="Arial"/>
          <w:b w:val="0"/>
          <w:i w:val="0"/>
          <w:color w:val="232830"/>
          <w:sz w:val="19"/>
        </w:rPr>
        <w:t>Dates: 05/22/2026-05/23/2026 before 18:00</w:t>
      </w:r>
    </w:p>
    <w:p>
      <w:pPr>
        <w:spacing w:before="180" w:after="60"/>
        <w:pBdr>
          <w:bottom w:val="single" w:sz="6" w:color="C9D4EA" w:space="2"/>
        </w:pBdr>
      </w:pPr>
      <w:r>
        <w:rPr>
          <w:rFonts w:ascii="Arial" w:hAnsi="Arial"/>
          <w:b/>
          <w:i w:val="0"/>
          <w:color w:val="4472C4"/>
          <w:sz w:val="20"/>
        </w:rPr>
        <w:t>HD5 PROGRESS - 05/22/2026</w:t>
      </w:r>
    </w:p>
    <w:p>
      <w:r>
        <w:rPr>
          <w:rFonts w:ascii="Arial" w:hAnsi="Arial"/>
          <w:b w:val="0"/>
          <w:i w:val="0"/>
          <w:color w:val="232830"/>
          <w:sz w:val="19"/>
        </w:rPr>
        <w:t>Korvin appears medically improved compared with admission. Infection-oriented treatment response, oral intake, alertness, and renal/hemodynamic status are improved enough that discharge planning is now plausible.</w:t>
      </w:r>
    </w:p>
    <w:p>
      <w:r>
        <w:rPr>
          <w:rFonts w:ascii="Arial" w:hAnsi="Arial"/>
          <w:b w:val="0"/>
          <w:i w:val="0"/>
          <w:color w:val="232830"/>
          <w:sz w:val="19"/>
        </w:rPr>
        <w:t>The team is not treating improvement as proof that discharge is automatically safe.</w:t>
      </w:r>
    </w:p>
    <w:p>
      <w:r>
        <w:rPr>
          <w:rFonts w:ascii="Arial" w:hAnsi="Arial"/>
          <w:b w:val="0"/>
          <w:i w:val="0"/>
          <w:color w:val="232830"/>
          <w:sz w:val="19"/>
        </w:rPr>
        <w:t>Remaining concerns:</w:t>
      </w:r>
    </w:p>
    <w:p>
      <w:pPr>
        <w:pStyle w:val="ListBullet"/>
        <w:spacing w:after="30"/>
      </w:pPr>
      <w:r>
        <w:rPr>
          <w:rFonts w:ascii="Arial" w:hAnsi="Arial"/>
          <w:b w:val="0"/>
          <w:i w:val="0"/>
          <w:color w:val="232830"/>
          <w:sz w:val="19"/>
        </w:rPr>
        <w:t>Functional reserve remains uncertain compared with baseline.</w:t>
      </w:r>
    </w:p>
    <w:p>
      <w:pPr>
        <w:pStyle w:val="ListBullet"/>
        <w:spacing w:after="30"/>
      </w:pPr>
      <w:r>
        <w:rPr>
          <w:rFonts w:ascii="Arial" w:hAnsi="Arial"/>
          <w:b w:val="0"/>
          <w:i w:val="0"/>
          <w:color w:val="232830"/>
          <w:sz w:val="19"/>
        </w:rPr>
        <w:t>Family continues to report Korvin is not back to his usual self.</w:t>
      </w:r>
    </w:p>
    <w:p>
      <w:pPr>
        <w:pStyle w:val="ListBullet"/>
        <w:spacing w:after="30"/>
      </w:pPr>
      <w:r>
        <w:rPr>
          <w:rFonts w:ascii="Arial" w:hAnsi="Arial"/>
          <w:b w:val="0"/>
          <w:i w:val="0"/>
          <w:color w:val="232830"/>
          <w:sz w:val="19"/>
        </w:rPr>
        <w:t>Medication restart decisions are not fully settled.</w:t>
      </w:r>
    </w:p>
    <w:p>
      <w:pPr>
        <w:pStyle w:val="ListBullet"/>
        <w:spacing w:after="30"/>
      </w:pPr>
      <w:r>
        <w:rPr>
          <w:rFonts w:ascii="Arial" w:hAnsi="Arial"/>
          <w:b w:val="0"/>
          <w:i w:val="0"/>
          <w:color w:val="232830"/>
          <w:sz w:val="19"/>
        </w:rPr>
        <w:t>Prednisone history and steroid-risk interpretation remain imperfect.</w:t>
      </w:r>
    </w:p>
    <w:p>
      <w:pPr>
        <w:pStyle w:val="ListBullet"/>
        <w:spacing w:after="30"/>
      </w:pPr>
      <w:r>
        <w:rPr>
          <w:rFonts w:ascii="Arial" w:hAnsi="Arial"/>
          <w:b w:val="0"/>
          <w:i w:val="0"/>
          <w:color w:val="232830"/>
          <w:sz w:val="19"/>
        </w:rPr>
        <w:t>Consultant recommendations reflect different risk priorities and timestamps.</w:t>
      </w:r>
    </w:p>
    <w:p>
      <w:pPr>
        <w:pStyle w:val="ListBullet"/>
        <w:spacing w:after="30"/>
      </w:pPr>
      <w:r>
        <w:rPr>
          <w:rFonts w:ascii="Arial" w:hAnsi="Arial"/>
          <w:b w:val="0"/>
          <w:i w:val="0"/>
          <w:color w:val="232830"/>
          <w:sz w:val="19"/>
        </w:rPr>
        <w:t>A discharge-facing plan may look reassuring before all evidence is integrated.</w:t>
      </w:r>
    </w:p>
    <w:p>
      <w:pPr>
        <w:spacing w:before="180" w:after="60"/>
        <w:pBdr>
          <w:bottom w:val="single" w:sz="6" w:color="C9D4EA" w:space="2"/>
        </w:pBdr>
      </w:pPr>
      <w:r>
        <w:rPr>
          <w:rFonts w:ascii="Arial" w:hAnsi="Arial"/>
          <w:b/>
          <w:i w:val="0"/>
          <w:color w:val="4472C4"/>
          <w:sz w:val="20"/>
        </w:rPr>
        <w:t>HD5 MEDICATION / CONSULTANT SYNTHESIS</w:t>
      </w:r>
    </w:p>
    <w:p>
      <w:r>
        <w:rPr>
          <w:rFonts w:ascii="Arial" w:hAnsi="Arial"/>
          <w:b w:val="0"/>
          <w:i w:val="0"/>
          <w:color w:val="232830"/>
          <w:sz w:val="19"/>
        </w:rPr>
        <w:t>The chronic HFrEF/CAD regimen requires careful reassessment. Earlier acute-illness holds remain clinically understandable, but the patient now needs a coherent forward plan.</w:t>
      </w:r>
    </w:p>
    <w:p>
      <w:r>
        <w:rPr>
          <w:rFonts w:ascii="Arial" w:hAnsi="Arial"/>
          <w:b w:val="0"/>
          <w:i w:val="0"/>
          <w:color w:val="232830"/>
          <w:sz w:val="19"/>
        </w:rPr>
        <w:t>Key unresolved synthesis:</w:t>
      </w:r>
    </w:p>
    <w:p>
      <w:pPr>
        <w:pStyle w:val="ListBullet"/>
        <w:spacing w:after="30"/>
      </w:pPr>
      <w:r>
        <w:rPr>
          <w:rFonts w:ascii="Arial" w:hAnsi="Arial"/>
          <w:b w:val="0"/>
          <w:i w:val="0"/>
          <w:color w:val="232830"/>
          <w:sz w:val="19"/>
        </w:rPr>
        <w:t>Cardiology-oriented logic favors not losing long-term cardioprotective therapy.</w:t>
      </w:r>
    </w:p>
    <w:p>
      <w:pPr>
        <w:pStyle w:val="ListBullet"/>
        <w:spacing w:after="30"/>
      </w:pPr>
      <w:r>
        <w:rPr>
          <w:rFonts w:ascii="Arial" w:hAnsi="Arial"/>
          <w:b w:val="0"/>
          <w:i w:val="0"/>
          <w:color w:val="232830"/>
          <w:sz w:val="19"/>
        </w:rPr>
        <w:t>Nephrology-oriented logic favors avoiding renal, potassium, volume, and hemodynamic harm during recovery.</w:t>
      </w:r>
    </w:p>
    <w:p>
      <w:pPr>
        <w:pStyle w:val="ListBullet"/>
        <w:spacing w:after="30"/>
      </w:pPr>
      <w:r>
        <w:rPr>
          <w:rFonts w:ascii="Arial" w:hAnsi="Arial"/>
          <w:b w:val="0"/>
          <w:i w:val="0"/>
          <w:color w:val="232830"/>
          <w:sz w:val="19"/>
        </w:rPr>
        <w:t>Hospitalist responsibility is to reconcile the timing rather than treat either specialty viewpoint as automatically sufficient.</w:t>
      </w:r>
    </w:p>
    <w:p>
      <w:r>
        <w:rPr>
          <w:rFonts w:ascii="Arial" w:hAnsi="Arial"/>
          <w:b w:val="0"/>
          <w:i w:val="0"/>
          <w:color w:val="232830"/>
          <w:sz w:val="19"/>
        </w:rPr>
        <w:t>Prednisone remains clinically relevant. Outpatient rheumatology source authority clarifies intended taper better than patient recollection, but actual recent use remains imperfectly reconstructed. Endocrinology concern remains defensible, while the primary team continues to avoid making steroid physiology the whole story.</w:t>
      </w:r>
    </w:p>
    <w:p>
      <w:pPr>
        <w:spacing w:before="180" w:after="60"/>
        <w:pBdr>
          <w:bottom w:val="single" w:sz="6" w:color="C9D4EA" w:space="2"/>
        </w:pBdr>
      </w:pPr>
      <w:r>
        <w:rPr>
          <w:rFonts w:ascii="Arial" w:hAnsi="Arial"/>
          <w:b/>
          <w:i w:val="0"/>
          <w:color w:val="4472C4"/>
          <w:sz w:val="20"/>
        </w:rPr>
        <w:t>HD6 PROGRESS BEFORE WORLD CLOSE - 05/23/2026</w:t>
      </w:r>
    </w:p>
    <w:p>
      <w:r>
        <w:rPr>
          <w:rFonts w:ascii="Arial" w:hAnsi="Arial"/>
          <w:b w:val="0"/>
          <w:i w:val="0"/>
          <w:color w:val="232830"/>
          <w:sz w:val="19"/>
        </w:rPr>
        <w:t>Korvin is improved compared with HD1. He is more awake, taking more by mouth, and less acutely ill appearing. The chart contains enough improvement that a superficial reader could view discharge planning as straightforward.</w:t>
      </w:r>
    </w:p>
    <w:p>
      <w:r>
        <w:rPr>
          <w:rFonts w:ascii="Arial" w:hAnsi="Arial"/>
          <w:b w:val="0"/>
          <w:i w:val="0"/>
          <w:color w:val="232830"/>
          <w:sz w:val="19"/>
        </w:rPr>
        <w:t>That interpretation is incomplete.</w:t>
      </w:r>
    </w:p>
    <w:p>
      <w:r>
        <w:rPr>
          <w:rFonts w:ascii="Arial" w:hAnsi="Arial"/>
          <w:b w:val="0"/>
          <w:i w:val="0"/>
          <w:color w:val="232830"/>
          <w:sz w:val="19"/>
        </w:rPr>
        <w:t>Unresolved at the HD6 pre-close snapshot:</w:t>
      </w:r>
    </w:p>
    <w:p>
      <w:pPr>
        <w:pStyle w:val="ListBullet"/>
        <w:spacing w:after="30"/>
      </w:pPr>
      <w:r>
        <w:rPr>
          <w:rFonts w:ascii="Arial" w:hAnsi="Arial"/>
          <w:b w:val="0"/>
          <w:i w:val="0"/>
          <w:color w:val="232830"/>
          <w:sz w:val="19"/>
        </w:rPr>
        <w:t>Whether functional capacity is adequate for the planned discharge environment.</w:t>
      </w:r>
    </w:p>
    <w:p>
      <w:pPr>
        <w:pStyle w:val="ListBullet"/>
        <w:spacing w:after="30"/>
      </w:pPr>
      <w:r>
        <w:rPr>
          <w:rFonts w:ascii="Arial" w:hAnsi="Arial"/>
          <w:b w:val="0"/>
          <w:i w:val="0"/>
          <w:color w:val="232830"/>
          <w:sz w:val="19"/>
        </w:rPr>
        <w:t>Whether cognitive recovery is sufficient for complex medication self-management.</w:t>
      </w:r>
    </w:p>
    <w:p>
      <w:pPr>
        <w:pStyle w:val="ListBullet"/>
        <w:spacing w:after="30"/>
      </w:pPr>
      <w:r>
        <w:rPr>
          <w:rFonts w:ascii="Arial" w:hAnsi="Arial"/>
          <w:b w:val="0"/>
          <w:i w:val="0"/>
          <w:color w:val="232830"/>
          <w:sz w:val="19"/>
        </w:rPr>
        <w:t>Whether family concern has been integrated or merely acknowledged.</w:t>
      </w:r>
    </w:p>
    <w:p>
      <w:pPr>
        <w:pStyle w:val="ListBullet"/>
        <w:spacing w:after="30"/>
      </w:pPr>
      <w:r>
        <w:rPr>
          <w:rFonts w:ascii="Arial" w:hAnsi="Arial"/>
          <w:b w:val="0"/>
          <w:i w:val="0"/>
          <w:color w:val="232830"/>
          <w:sz w:val="19"/>
        </w:rPr>
        <w:t>Whether renal/hemodynamic trends support each medication action at discharge.</w:t>
      </w:r>
    </w:p>
    <w:p>
      <w:pPr>
        <w:pStyle w:val="ListBullet"/>
        <w:spacing w:after="30"/>
      </w:pPr>
      <w:r>
        <w:rPr>
          <w:rFonts w:ascii="Arial" w:hAnsi="Arial"/>
          <w:b w:val="0"/>
          <w:i w:val="0"/>
          <w:color w:val="232830"/>
          <w:sz w:val="19"/>
        </w:rPr>
        <w:t>Whether steroid source hierarchy has been applied correctly without over-attribution.</w:t>
      </w:r>
    </w:p>
    <w:p>
      <w:pPr>
        <w:pStyle w:val="ListBullet"/>
        <w:spacing w:after="30"/>
      </w:pPr>
      <w:r>
        <w:rPr>
          <w:rFonts w:ascii="Arial" w:hAnsi="Arial"/>
          <w:b w:val="0"/>
          <w:i w:val="0"/>
          <w:color w:val="232830"/>
          <w:sz w:val="19"/>
        </w:rPr>
        <w:t>Whether consultant recommendations have been interpreted in temporal context.</w:t>
      </w:r>
    </w:p>
    <w:p>
      <w:pPr>
        <w:spacing w:before="180" w:after="60"/>
        <w:pBdr>
          <w:bottom w:val="single" w:sz="6" w:color="C9D4EA" w:space="2"/>
        </w:pBdr>
      </w:pPr>
      <w:r>
        <w:rPr>
          <w:rFonts w:ascii="Arial" w:hAnsi="Arial"/>
          <w:b/>
          <w:i w:val="0"/>
          <w:color w:val="4472C4"/>
          <w:sz w:val="20"/>
        </w:rPr>
        <w:t>DISCHARGE-PLANNING FRAME</w:t>
      </w:r>
    </w:p>
    <w:p>
      <w:r>
        <w:rPr>
          <w:rFonts w:ascii="Arial" w:hAnsi="Arial"/>
          <w:b w:val="0"/>
          <w:i w:val="0"/>
          <w:color w:val="232830"/>
          <w:sz w:val="19"/>
        </w:rPr>
        <w:t>Discharge planning is active but not complete in this file. Follow-up, services, medication review, and family support are under discussion. Case Management, therapy, nursing, pharmacy, and consultant documentation remain necessary sources for a safe interpretation.</w:t>
      </w:r>
    </w:p>
    <w:p>
      <w:r>
        <w:rPr>
          <w:rFonts w:ascii="Arial" w:hAnsi="Arial"/>
          <w:b w:val="0"/>
          <w:i w:val="0"/>
          <w:color w:val="232830"/>
          <w:sz w:val="19"/>
        </w:rPr>
        <w:t>The primary team position is defensible because Korvin has improved and discharge planning can reasonably begin. The family position is also defensible because real-world function, cognition, and medication-management safety remain uncertain.</w:t>
      </w:r>
    </w:p>
    <w:p>
      <w:pPr>
        <w:spacing w:before="180" w:after="60"/>
        <w:pBdr>
          <w:bottom w:val="single" w:sz="6" w:color="C9D4EA" w:space="2"/>
        </w:pBdr>
      </w:pPr>
      <w:r>
        <w:rPr>
          <w:rFonts w:ascii="Arial" w:hAnsi="Arial"/>
          <w:b/>
          <w:i w:val="0"/>
          <w:color w:val="4472C4"/>
          <w:sz w:val="20"/>
        </w:rPr>
        <w:t>ASSESSMENT</w:t>
      </w:r>
    </w:p>
    <w:p>
      <w:r>
        <w:rPr>
          <w:rFonts w:ascii="Arial" w:hAnsi="Arial"/>
          <w:b w:val="0"/>
          <w:i w:val="0"/>
          <w:color w:val="232830"/>
          <w:sz w:val="19"/>
        </w:rPr>
        <w:t>Medically improving. Operationally dangerous if the discharge plan over-trusts a visible progress/discharge-planning source and fails to reconcile functional, family, consultant, medication, steroid, and trend evidence.</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This file establishes Trap #5 as a visible but incomplete discharge-facing physician source. It is not a final discharge summary, final medication list, final disposition decision, final consultant synthesis, or answer file.</w:t>
      </w:r>
    </w:p>
    <w:p>
      <w:pPr>
        <w:spacing w:before="200"/>
        <w:pBdr>
          <w:top w:val="single" w:sz="4" w:color="C9D4EA" w:space="4"/>
        </w:pBdr>
      </w:pPr>
      <w:r>
        <w:rPr>
          <w:rFonts w:ascii="Arial" w:hAnsi="Arial"/>
          <w:b w:val="0"/>
          <w:i/>
          <w:color w:val="5E6670"/>
          <w:sz w:val="18"/>
        </w:rPr>
        <w:t>Electronically signed by Hospitalist Service  |  Hospital Medicine</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HD5-HD6 hospitalist discharge-planning progress documentation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