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Cardiology Records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Pre-admission provenance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Cardiology or PCP history source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Remote PCI / coronary stent provenance summary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REMOTE PCI / CORONARY STENT PROVENANCE SUMMARY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Cardiology or PCP history source  |  Department: Cardiology Records  |  Pre-admission provenance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REMOTE CARDIOVASCULAR PROCEDURE PROVENANCE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Source type: historical cardiology / primary care provenance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Korvin has a remote history of percutaneous coronary intervention with coronary stent placement. The available chart provenance supports chronic CAD history and the reason chronic cardiovascular prevention appears throughout the record.</w:t>
      </w:r>
    </w:p>
    <w:p>
      <w:r>
        <w:rPr>
          <w:rFonts w:ascii="Arial" w:hAnsi="Arial"/>
          <w:b w:val="0"/>
          <w:i w:val="0"/>
          <w:color w:val="232830"/>
          <w:sz w:val="19"/>
        </w:rPr>
        <w:t>This supplementary file is background texture. It is not an active cardiology consultation, inpatient procedure note, discharge summary, or final medication decision.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BACKGROUND CONTEXT</w:t>
      </w:r>
    </w:p>
    <w:p>
      <w:r>
        <w:rPr>
          <w:rFonts w:ascii="Arial" w:hAnsi="Arial"/>
          <w:b w:val="0"/>
          <w:i w:val="0"/>
          <w:color w:val="232830"/>
          <w:sz w:val="19"/>
        </w:rPr>
        <w:t>The remote stent history helps explain why CAD prevention remains clinically relevant in the world.</w:t>
      </w:r>
    </w:p>
    <w:p>
      <w:r>
        <w:rPr>
          <w:rFonts w:ascii="Arial" w:hAnsi="Arial"/>
          <w:b w:val="0"/>
          <w:i w:val="0"/>
          <w:color w:val="232830"/>
          <w:sz w:val="19"/>
        </w:rPr>
        <w:t>Background implications: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CAD remains part of Korvin's baseline condition burden;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aspirin and statin continuity appear in stronger medication and consultant sources;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HFrEF/CAD medication discussions should be interpreted in the context of long-term cardiovascular risk;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remote procedure history does not by itself determine acute medication restart timing.</w:t>
      </w:r>
    </w:p>
    <w:p>
      <w:r>
        <w:rPr>
          <w:rFonts w:ascii="Arial" w:hAnsi="Arial"/>
          <w:b w:val="0"/>
          <w:i w:val="0"/>
          <w:color w:val="232830"/>
          <w:sz w:val="19"/>
        </w:rPr>
        <w:t>The provenance does not describe new chest pain, new ischemia, new catheterization, or any inpatient coronary intervention during this hospitalization.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RELATIONSHIP TO CURRENT HOSPITALIZATION</w:t>
      </w:r>
    </w:p>
    <w:p>
      <w:r>
        <w:rPr>
          <w:rFonts w:ascii="Arial" w:hAnsi="Arial"/>
          <w:b w:val="0"/>
          <w:i w:val="0"/>
          <w:color w:val="232830"/>
          <w:sz w:val="19"/>
        </w:rPr>
        <w:t>This background may help a reviewer understand why Cardiology is attentive to chronic cardiovascular protection.</w:t>
      </w:r>
    </w:p>
    <w:p>
      <w:r>
        <w:rPr>
          <w:rFonts w:ascii="Arial" w:hAnsi="Arial"/>
          <w:b w:val="0"/>
          <w:i w:val="0"/>
          <w:color w:val="232830"/>
          <w:sz w:val="19"/>
        </w:rPr>
        <w:t>It does not resolve the Cardiology vs Nephrology disagreement.</w:t>
      </w:r>
    </w:p>
    <w:p>
      <w:r>
        <w:rPr>
          <w:rFonts w:ascii="Arial" w:hAnsi="Arial"/>
          <w:b w:val="0"/>
          <w:i w:val="0"/>
          <w:color w:val="232830"/>
          <w:sz w:val="19"/>
        </w:rPr>
        <w:t>The medication-restart problem still requires synthesis of: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objective renal, potassium, hemodynamic, and intake trends;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MAR and inpatient medication action evidence;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nephrology recommendations;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cardiology recommendations;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hospitalist synthesis;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discharge support and medication-management safety.</w:t>
      </w:r>
    </w:p>
    <w:p>
      <w:r>
        <w:rPr>
          <w:rFonts w:ascii="Arial" w:hAnsi="Arial"/>
          <w:b w:val="0"/>
          <w:i w:val="0"/>
          <w:color w:val="232830"/>
          <w:sz w:val="19"/>
        </w:rPr>
        <w:t>WS1 does not decide whether sacubitril/valsartan, carvedilol, diuretic therapy, spironolactone, empagliflozin, metformin, or other renal/hemodynamic-sensitive medications should be continued, restarted, held, or deferred.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SUPPLEMENTARY INTERPRETATION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may support Hospital Discharge Summary Generation by giving remote procedural context.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may support Discharge Medication Reconciliation only as background for chronic CAD/HFrEF prevention.</w:t>
      </w:r>
    </w:p>
    <w:p>
      <w:r>
        <w:rPr>
          <w:rFonts w:ascii="Arial" w:hAnsi="Arial"/>
          <w:b w:val="0"/>
          <w:i w:val="0"/>
          <w:color w:val="232830"/>
          <w:sz w:val="19"/>
        </w:rPr>
        <w:t>It is not a medication source and does not outrank:</w:t>
      </w:r>
    </w:p>
    <w:p>
      <w:r>
        <w:rPr>
          <w:rFonts w:ascii="Arial" w:hAnsi="Arial"/>
          <w:b w:val="0"/>
          <w:i w:val="0"/>
          <w:color w:val="232830"/>
          <w:sz w:val="19"/>
        </w:rPr>
        <w:t>1. attending documentation;</w:t>
      </w:r>
    </w:p>
    <w:p>
      <w:r>
        <w:rPr>
          <w:rFonts w:ascii="Arial" w:hAnsi="Arial"/>
          <w:b w:val="0"/>
          <w:i w:val="0"/>
          <w:color w:val="232830"/>
          <w:sz w:val="19"/>
        </w:rPr>
        <w:t>2. verified medication reconciliation;</w:t>
      </w:r>
    </w:p>
    <w:p>
      <w:r>
        <w:rPr>
          <w:rFonts w:ascii="Arial" w:hAnsi="Arial"/>
          <w:b w:val="0"/>
          <w:i w:val="0"/>
          <w:color w:val="232830"/>
          <w:sz w:val="19"/>
        </w:rPr>
        <w:t>3. pharmacy history;</w:t>
      </w:r>
    </w:p>
    <w:p>
      <w:r>
        <w:rPr>
          <w:rFonts w:ascii="Arial" w:hAnsi="Arial"/>
          <w:b w:val="0"/>
          <w:i w:val="0"/>
          <w:color w:val="232830"/>
          <w:sz w:val="19"/>
        </w:rPr>
        <w:t>4. consultant documentation;</w:t>
      </w:r>
    </w:p>
    <w:p>
      <w:r>
        <w:rPr>
          <w:rFonts w:ascii="Arial" w:hAnsi="Arial"/>
          <w:b w:val="0"/>
          <w:i w:val="0"/>
          <w:color w:val="232830"/>
          <w:sz w:val="19"/>
        </w:rPr>
        <w:t>5. primary care documentation;</w:t>
      </w:r>
    </w:p>
    <w:p>
      <w:r>
        <w:rPr>
          <w:rFonts w:ascii="Arial" w:hAnsi="Arial"/>
          <w:b w:val="0"/>
          <w:i w:val="0"/>
          <w:color w:val="232830"/>
          <w:sz w:val="19"/>
        </w:rPr>
        <w:t>6. family report;</w:t>
      </w:r>
    </w:p>
    <w:p>
      <w:r>
        <w:rPr>
          <w:rFonts w:ascii="Arial" w:hAnsi="Arial"/>
          <w:b w:val="0"/>
          <w:i w:val="0"/>
          <w:color w:val="232830"/>
          <w:sz w:val="19"/>
        </w:rPr>
        <w:t>7. patient recollection.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GUARDRAILS</w:t>
      </w:r>
    </w:p>
    <w:p>
      <w:r>
        <w:rPr>
          <w:rFonts w:ascii="Arial" w:hAnsi="Arial"/>
          <w:b w:val="0"/>
          <w:i w:val="0"/>
          <w:color w:val="232830"/>
          <w:sz w:val="19"/>
        </w:rPr>
        <w:t>WS1 must not become Trap #2 answer support.</w:t>
      </w:r>
    </w:p>
    <w:p>
      <w:r>
        <w:rPr>
          <w:rFonts w:ascii="Arial" w:hAnsi="Arial"/>
          <w:b w:val="0"/>
          <w:i w:val="0"/>
          <w:color w:val="232830"/>
          <w:sz w:val="19"/>
        </w:rPr>
        <w:t>It must not: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resolve Cardiology vs Nephrology;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decide GDMT restart timing;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override EW12 objective trends;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convert EW13 inpatient medication actions into a final plan;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create a final medication list;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create a discharge medication reconciliation;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create an acute cardiac diagnosis or procedure.</w:t>
      </w:r>
    </w:p>
    <w:p>
      <w:r>
        <w:rPr>
          <w:rFonts w:ascii="Arial" w:hAnsi="Arial"/>
          <w:b w:val="0"/>
          <w:i w:val="0"/>
          <w:color w:val="232830"/>
          <w:sz w:val="19"/>
        </w:rPr>
        <w:t>No post-world information, discharge outcome, +7 follow-up information, +30 follow-up information, task prompt, expected output, golden response, grader guidance, AutoQC response, DOCX artifact, or submission material is present.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Cardiology or PCP history source  |  Cardiology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Remote PCI / coronary stent provenance summary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