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Care Coordination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05/31/2026 / +7 from discharge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Clinical staff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Early post-discharge follow-up assessment request context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rial" w:hAnsi="Arial"/>
          <w:b/>
          <w:i w:val="0"/>
          <w:color w:val="1F3864"/>
          <w:sz w:val="28"/>
        </w:rPr>
        <w:t>EARLY POST-DISCHARGE FOLLOW-UP ASSESSMENT REQUEST CONTEXT</w:t>
      </w:r>
    </w:p>
    <w:p>
      <w:pPr>
        <w:spacing w:after="120"/>
      </w:pPr>
      <w:r>
        <w:rPr>
          <w:rFonts w:ascii="Arial" w:hAnsi="Arial"/>
          <w:b w:val="0"/>
          <w:i w:val="0"/>
          <w:color w:val="5E6670"/>
          <w:sz w:val="16"/>
        </w:rPr>
        <w:t>Author: Clinical staff  |  Department: Care Coordination  |  05/31/2026 / +7 from discharge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CONTEXT FRAMING</w:t>
      </w:r>
    </w:p>
    <w:p>
      <w:r>
        <w:rPr>
          <w:rFonts w:ascii="Arial" w:hAnsi="Arial"/>
          <w:b w:val="0"/>
          <w:i w:val="0"/>
          <w:color w:val="232830"/>
          <w:sz w:val="19"/>
        </w:rPr>
        <w:t>This task-context file frames a future +7 follow-up assessment request. It is not a follow-up note, not a post-discharge clinical update, not a task prompt, and not a new source of post-world clinical facts.</w:t>
      </w:r>
    </w:p>
    <w:p>
      <w:r>
        <w:rPr>
          <w:rFonts w:ascii="Arial" w:hAnsi="Arial"/>
          <w:b w:val="0"/>
          <w:i w:val="0"/>
          <w:color w:val="232830"/>
          <w:sz w:val="19"/>
        </w:rPr>
        <w:t>The primary care or transition team needs a future reviewer to reconstruct the hospitalization and discharge-risk substrate from EW1 through EW22 before thinking about early follow-up priorities. The +7 anchor is a task date, not permission to invent new symptoms, labs, vitals, visits, readmissions, or outcomes.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REQUIRED WORLD-FILE SYNTHESIS</w:t>
      </w:r>
    </w:p>
    <w:p>
      <w:r>
        <w:rPr>
          <w:rFonts w:ascii="Arial" w:hAnsi="Arial"/>
          <w:b w:val="0"/>
          <w:i w:val="0"/>
          <w:color w:val="232830"/>
          <w:sz w:val="19"/>
        </w:rPr>
        <w:t>The future review must reconstruct from EW1 through EW22. The following source families are especially important: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Source family</w:t>
            </w:r>
          </w:p>
        </w:tc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Locked file IDs</w:t>
            </w:r>
          </w:p>
        </w:tc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Why review is required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Pre-admission baseline and decline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EW1, EW2, EW3, EW7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Establish baseline function/cognition, decline, near-fall, and initial sepsis frame.</w:t>
            </w:r>
          </w:p>
        </w:tc>
      </w:tr>
      <w:tr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Hospital course and mixed physiology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EW8, EW9, EW10, EW11, EW12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Understand improvement, persistent risk, and sepsis-anchoring limits.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Medication and prednisone evidence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EW4, EW5, EW6, EW13, EW14, EW15, EW16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Reconstruct medication tolerance questions, restart uncertainty, and steroid plan coherence.</w:t>
            </w:r>
          </w:p>
        </w:tc>
      </w:tr>
      <w:tr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Functional/cognitive and family evidence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EW17, EW18, EW19, EW20, EW21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Preserve buried functional/cognitive evidence and family/home-support context.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Visible discharge-facing source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EW22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Treat discharge plan snapshot as useful but incomplete.</w:t>
            </w:r>
          </w:p>
        </w:tc>
      </w:tr>
    </w:tbl>
    <w:p>
      <w:pPr>
        <w:spacing w:after="0"/>
      </w:pP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FOLLOW-UP REASSESSMENT FOCUS</w:t>
      </w:r>
    </w:p>
    <w:p>
      <w:r>
        <w:rPr>
          <w:rFonts w:ascii="Arial" w:hAnsi="Arial"/>
          <w:b w:val="0"/>
          <w:i w:val="0"/>
          <w:color w:val="232830"/>
          <w:sz w:val="19"/>
        </w:rPr>
        <w:t>The future follow-up assessment should be oriented to: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whether recovery is following the expected trajectory after a mixed-physiology hospitalization;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whether medication restart/hold/taper decisions require monitoring or clarification;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whether renal/cardiac safety needs reassessment based on world evidence;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whether steroid-plan coherence requires attention without proving adrenal insufficiency;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whether functional status, cognition, medication management, and support needs remain vulnerable;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whether discharge-source hierarchy and EW22 incompleteness created follow-up risk.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does not add current +7 clinical findings.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TRAP PRESERVATION</w:t>
      </w:r>
    </w:p>
    <w:p>
      <w:r>
        <w:rPr>
          <w:rFonts w:ascii="Arial" w:hAnsi="Arial"/>
          <w:b w:val="0"/>
          <w:i w:val="0"/>
          <w:color w:val="232830"/>
          <w:sz w:val="19"/>
        </w:rPr>
        <w:t>Trap #1 remains active as steroid source-of-truth reconstruction, not an endocrine answer. Rheumatology remains highest prednisone-history authority.</w:t>
      </w:r>
    </w:p>
    <w:p>
      <w:r>
        <w:rPr>
          <w:rFonts w:ascii="Arial" w:hAnsi="Arial"/>
          <w:b w:val="0"/>
          <w:i w:val="0"/>
          <w:color w:val="232830"/>
          <w:sz w:val="19"/>
        </w:rPr>
        <w:t>Trap #2 remains active because medication timing and monitoring remain uncertain after a complex admission.</w:t>
      </w:r>
    </w:p>
    <w:p>
      <w:r>
        <w:rPr>
          <w:rFonts w:ascii="Arial" w:hAnsi="Arial"/>
          <w:b w:val="0"/>
          <w:i w:val="0"/>
          <w:color w:val="232830"/>
          <w:sz w:val="19"/>
        </w:rPr>
        <w:t>Trap #4 remains active because the future reviewer must avoid assuming either "sepsis solved everything" or "steroids explain everything."</w:t>
      </w:r>
    </w:p>
    <w:p>
      <w:r>
        <w:rPr>
          <w:rFonts w:ascii="Arial" w:hAnsi="Arial"/>
          <w:b w:val="0"/>
          <w:i w:val="0"/>
          <w:color w:val="232830"/>
          <w:sz w:val="19"/>
        </w:rPr>
        <w:t>Trap #5 remains active because the visible discharge-facing plan may have shaped transition thinking without containing all caveats.</w:t>
      </w:r>
    </w:p>
    <w:p>
      <w:r>
        <w:rPr>
          <w:rFonts w:ascii="Arial" w:hAnsi="Arial"/>
          <w:b w:val="0"/>
          <w:i w:val="0"/>
          <w:color w:val="232830"/>
          <w:sz w:val="19"/>
        </w:rPr>
        <w:t>Trap #3 is secondary. Functional and cognitive evidence must remain discoverable in world files rather than summarized here.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FRICTION PRESERVATION</w:t>
      </w:r>
    </w:p>
    <w:p>
      <w:r>
        <w:rPr>
          <w:rFonts w:ascii="Arial" w:hAnsi="Arial"/>
          <w:b w:val="0"/>
          <w:i w:val="0"/>
          <w:color w:val="232830"/>
          <w:sz w:val="19"/>
        </w:rPr>
        <w:t>Family vs Primary Team remains meaningful because baseline and home safety concerns affect follow-up priorities. This file does not declare discharge obviously unsafe or the Primary Team careless.</w:t>
      </w:r>
    </w:p>
    <w:p>
      <w:r>
        <w:rPr>
          <w:rFonts w:ascii="Arial" w:hAnsi="Arial"/>
          <w:b w:val="0"/>
          <w:i w:val="0"/>
          <w:color w:val="232830"/>
          <w:sz w:val="19"/>
        </w:rPr>
        <w:t>Endocrinology vs Primary Team remains relevant through steroid-plan coherence and risk interpretation. This file does not prove adrenal insufficiency, finalize prednisone adherence, or replace rheumatology.</w:t>
      </w:r>
    </w:p>
    <w:p>
      <w:r>
        <w:rPr>
          <w:rFonts w:ascii="Arial" w:hAnsi="Arial"/>
          <w:b w:val="0"/>
          <w:i w:val="0"/>
          <w:color w:val="232830"/>
          <w:sz w:val="19"/>
        </w:rPr>
        <w:t>Cardiology vs Nephrology may matter indirectly through medication tolerance and renal/cardiac safety but is not promoted beyond the locked architecture.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SOURCE-OF-TRUTH SAFEGUARDS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The +7 anchor does not create new post-world evidence.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E1-T5 cannot replace EW1 through EW22.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Follow-up reasoning must be traceable back to locked world evidence unless a future phase separately authorizes new post-world content.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P0-derived tracker provenance remains metadata only, not a new workflow category.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PROHIBITED CONTENT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does not contain: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new labs or vitals;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new symptoms or exam findings;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follow-up note;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readmission or non-readmission outcome;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proof of adrenal insufficiency;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final explanation for admission;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final medication plan;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task prompt;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 expected output;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golden response;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grader guidance.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CANDIDATE REVIEW NOTE</w:t>
      </w:r>
    </w:p>
    <w:p>
      <w:r>
        <w:rPr>
          <w:rFonts w:ascii="Arial" w:hAnsi="Arial"/>
          <w:b w:val="0"/>
          <w:i w:val="0"/>
          <w:color w:val="232830"/>
          <w:sz w:val="19"/>
        </w:rPr>
        <w:t>Candidate reviewers should verify that E1-T5 preserves world necessity by requiring reconstruction from EW1 through EW22 rather than adding solved follow-up facts.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Clinical staff  |  Care Coordination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Early post-discharge follow-up assessment request context  |  Synthetic training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