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Primary Care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 / Anchor</w:t>
              <w:br/>
            </w:r>
            <w:r>
              <w:rPr>
                <w:rFonts w:ascii="Arial" w:hAnsi="Arial"/>
                <w:b w:val="0"/>
                <w:i w:val="0"/>
                <w:color w:val="232830"/>
                <w:sz w:val="16"/>
              </w:rPr>
              <w:t>Pre-admission provenance available during hospitalization</w:t>
            </w:r>
          </w:p>
        </w:tc>
        <w:tc>
          <w:tcPr>
            <w:tcW w:type="dxa" w:w="2592"/>
            <w:shd w:val="clear" w:fill="EDF2FA"/>
          </w:tcPr>
          <w:p>
            <w:r>
              <w:rPr>
                <w:rFonts w:ascii="Arial" w:hAnsi="Arial"/>
                <w:b/>
                <w:i w:val="0"/>
                <w:color w:val="5E6670"/>
                <w:sz w:val="14"/>
              </w:rPr>
              <w:t>Source</w:t>
              <w:br/>
            </w:r>
            <w:r>
              <w:rPr>
                <w:rFonts w:ascii="Arial" w:hAnsi="Arial"/>
                <w:b w:val="0"/>
                <w:i w:val="0"/>
                <w:color w:val="232830"/>
                <w:sz w:val="16"/>
              </w:rPr>
              <w:t>Dr. Talia Quenor / primary care documentation</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Primary care outpatient baseline summary</w:t>
            </w:r>
          </w:p>
        </w:tc>
      </w:tr>
    </w:tbl>
    <w:p>
      <w:pPr>
        <w:spacing w:after="0"/>
      </w:pPr>
    </w:p>
    <w:p>
      <w:pPr>
        <w:spacing w:after="20"/>
      </w:pPr>
      <w:r>
        <w:rPr>
          <w:rFonts w:ascii="Arial" w:hAnsi="Arial"/>
          <w:b/>
          <w:i w:val="0"/>
          <w:color w:val="1F3864"/>
          <w:sz w:val="28"/>
        </w:rPr>
        <w:t>PRIMARY CARE OUTPATIENT BASELINE SUMMARY</w:t>
      </w:r>
    </w:p>
    <w:p>
      <w:pPr>
        <w:spacing w:after="120"/>
      </w:pPr>
      <w:r>
        <w:rPr>
          <w:rFonts w:ascii="Arial" w:hAnsi="Arial"/>
          <w:b w:val="0"/>
          <w:i w:val="0"/>
          <w:color w:val="5E6670"/>
          <w:sz w:val="16"/>
        </w:rPr>
        <w:t>Author: Dr. Talia Quenor / primary care documentation  |  Department: Primary Care  |  Pre-admission provenance available during hospitalization  |  Status: Signed</w:t>
      </w:r>
    </w:p>
    <w:p>
      <w:pPr>
        <w:spacing w:before="180" w:after="60"/>
        <w:pBdr>
          <w:bottom w:val="single" w:sz="6" w:color="C9D4EA" w:space="2"/>
        </w:pBdr>
      </w:pPr>
      <w:r>
        <w:rPr>
          <w:rFonts w:ascii="Arial" w:hAnsi="Arial"/>
          <w:b/>
          <w:i w:val="0"/>
          <w:color w:val="4472C4"/>
          <w:sz w:val="20"/>
        </w:rPr>
        <w:t>PRIMARY CARE BASELINE SUMMARY</w:t>
      </w:r>
    </w:p>
    <w:p>
      <w:r>
        <w:rPr>
          <w:rFonts w:ascii="Arial" w:hAnsi="Arial"/>
          <w:b w:val="0"/>
          <w:i w:val="0"/>
          <w:color w:val="232830"/>
          <w:sz w:val="19"/>
        </w:rPr>
        <w:t>Source: outpatient primary care documentation.</w:t>
      </w:r>
    </w:p>
    <w:p>
      <w:r>
        <w:rPr>
          <w:rFonts w:ascii="Arial" w:hAnsi="Arial"/>
          <w:b w:val="0"/>
          <w:i w:val="0"/>
          <w:color w:val="232830"/>
          <w:sz w:val="19"/>
        </w:rPr>
        <w:t>Author: Dr. Talia Quenor</w:t>
      </w:r>
    </w:p>
    <w:p>
      <w:r>
        <w:rPr>
          <w:rFonts w:ascii="Arial" w:hAnsi="Arial"/>
          <w:b w:val="0"/>
          <w:i w:val="0"/>
          <w:color w:val="232830"/>
          <w:sz w:val="19"/>
        </w:rPr>
        <w:t>Patient: Korvin Merrow</w:t>
      </w:r>
    </w:p>
    <w:p>
      <w:r>
        <w:rPr>
          <w:rFonts w:ascii="Arial" w:hAnsi="Arial"/>
          <w:b w:val="0"/>
          <w:i w:val="0"/>
          <w:color w:val="232830"/>
          <w:sz w:val="19"/>
        </w:rPr>
        <w:t>Record type: longitudinal baseline and chronic disease context available to inpatient team during hospitalization.</w:t>
      </w:r>
    </w:p>
    <w:p>
      <w:pPr>
        <w:spacing w:before="180" w:after="60"/>
        <w:pBdr>
          <w:bottom w:val="single" w:sz="6" w:color="C9D4EA" w:space="2"/>
        </w:pBdr>
      </w:pPr>
      <w:r>
        <w:rPr>
          <w:rFonts w:ascii="Arial" w:hAnsi="Arial"/>
          <w:b/>
          <w:i w:val="0"/>
          <w:color w:val="4472C4"/>
          <w:sz w:val="20"/>
        </w:rPr>
        <w:t>BASELINE FUNCTION AND HOME CONTEXT</w:t>
      </w:r>
    </w:p>
    <w:p>
      <w:r>
        <w:rPr>
          <w:rFonts w:ascii="Arial" w:hAnsi="Arial"/>
          <w:b w:val="0"/>
          <w:i w:val="0"/>
          <w:color w:val="232830"/>
          <w:sz w:val="19"/>
        </w:rPr>
        <w:t>Korvin lives with family. At baseline, he is independent with basic activities of daily living but moves at a slower pace because of chronic illness. He occasionally uses a cane for longer distances or symptomatic days.</w:t>
      </w:r>
    </w:p>
    <w:p>
      <w:r>
        <w:rPr>
          <w:rFonts w:ascii="Arial" w:hAnsi="Arial"/>
          <w:b w:val="0"/>
          <w:i w:val="0"/>
          <w:color w:val="232830"/>
          <w:sz w:val="19"/>
        </w:rPr>
        <w:t>Family provides intermittent support and helps oversee a complex medication regimen. Korvin usually participates in his medication routine, but the regimen is complex enough that acute illness or cognitive slowing could create safety problems.</w:t>
      </w:r>
    </w:p>
    <w:p>
      <w:r>
        <w:rPr>
          <w:rFonts w:ascii="Arial" w:hAnsi="Arial"/>
          <w:b w:val="0"/>
          <w:i w:val="0"/>
          <w:color w:val="232830"/>
          <w:sz w:val="19"/>
        </w:rPr>
        <w:t>Baseline cognition is mild age-related forgetfulness only. He is normally oriented, conversational, and able to participate in household routines. Family knows his usual function and is a reliable source for baseline deviation.</w:t>
      </w:r>
    </w:p>
    <w:p>
      <w:pPr>
        <w:spacing w:before="180" w:after="60"/>
        <w:pBdr>
          <w:bottom w:val="single" w:sz="6" w:color="C9D4EA" w:space="2"/>
        </w:pBdr>
      </w:pPr>
      <w:r>
        <w:rPr>
          <w:rFonts w:ascii="Arial" w:hAnsi="Arial"/>
          <w:b/>
          <w:i w:val="0"/>
          <w:color w:val="4472C4"/>
          <w:sz w:val="20"/>
        </w:rPr>
        <w:t>BASELINE MEDICAL CONTEXT</w:t>
      </w:r>
    </w:p>
    <w:p>
      <w:r>
        <w:rPr>
          <w:rFonts w:ascii="Arial" w:hAnsi="Arial"/>
          <w:b w:val="0"/>
          <w:i w:val="0"/>
          <w:color w:val="232830"/>
          <w:sz w:val="19"/>
        </w:rPr>
        <w:t>Known chronic conditions in primary care documentation include:</w:t>
      </w:r>
    </w:p>
    <w:p>
      <w:pPr>
        <w:pStyle w:val="ListBullet"/>
        <w:spacing w:after="30"/>
      </w:pPr>
      <w:r>
        <w:rPr>
          <w:rFonts w:ascii="Arial" w:hAnsi="Arial"/>
          <w:b w:val="0"/>
          <w:i w:val="0"/>
          <w:color w:val="232830"/>
          <w:sz w:val="19"/>
        </w:rPr>
        <w:t>HFrEF.</w:t>
      </w:r>
    </w:p>
    <w:p>
      <w:pPr>
        <w:pStyle w:val="ListBullet"/>
        <w:spacing w:after="30"/>
      </w:pPr>
      <w:r>
        <w:rPr>
          <w:rFonts w:ascii="Arial" w:hAnsi="Arial"/>
          <w:b w:val="0"/>
          <w:i w:val="0"/>
          <w:color w:val="232830"/>
          <w:sz w:val="19"/>
        </w:rPr>
        <w:t>CAD with remote PCI/stent.</w:t>
      </w:r>
    </w:p>
    <w:p>
      <w:pPr>
        <w:pStyle w:val="ListBullet"/>
        <w:spacing w:after="30"/>
      </w:pPr>
      <w:r>
        <w:rPr>
          <w:rFonts w:ascii="Arial" w:hAnsi="Arial"/>
          <w:b w:val="0"/>
          <w:i w:val="0"/>
          <w:color w:val="232830"/>
          <w:sz w:val="19"/>
        </w:rPr>
        <w:t>Hypertension.</w:t>
      </w:r>
    </w:p>
    <w:p>
      <w:pPr>
        <w:pStyle w:val="ListBullet"/>
        <w:spacing w:after="30"/>
      </w:pPr>
      <w:r>
        <w:rPr>
          <w:rFonts w:ascii="Arial" w:hAnsi="Arial"/>
          <w:b w:val="0"/>
          <w:i w:val="0"/>
          <w:color w:val="232830"/>
          <w:sz w:val="19"/>
        </w:rPr>
        <w:t>Hyperlipidemia.</w:t>
      </w:r>
    </w:p>
    <w:p>
      <w:pPr>
        <w:pStyle w:val="ListBullet"/>
        <w:spacing w:after="30"/>
      </w:pPr>
      <w:r>
        <w:rPr>
          <w:rFonts w:ascii="Arial" w:hAnsi="Arial"/>
          <w:b w:val="0"/>
          <w:i w:val="0"/>
          <w:color w:val="232830"/>
          <w:sz w:val="19"/>
        </w:rPr>
        <w:t>CKD stage 3.</w:t>
      </w:r>
    </w:p>
    <w:p>
      <w:pPr>
        <w:pStyle w:val="ListBullet"/>
        <w:spacing w:after="30"/>
      </w:pPr>
      <w:r>
        <w:rPr>
          <w:rFonts w:ascii="Arial" w:hAnsi="Arial"/>
          <w:b w:val="0"/>
          <w:i w:val="0"/>
          <w:color w:val="232830"/>
          <w:sz w:val="19"/>
        </w:rPr>
        <w:t>Type 2 diabetes mellitus.</w:t>
      </w:r>
    </w:p>
    <w:p>
      <w:pPr>
        <w:pStyle w:val="ListBullet"/>
        <w:spacing w:after="30"/>
      </w:pPr>
      <w:r>
        <w:rPr>
          <w:rFonts w:ascii="Arial" w:hAnsi="Arial"/>
          <w:b w:val="0"/>
          <w:i w:val="0"/>
          <w:color w:val="232830"/>
          <w:sz w:val="19"/>
        </w:rPr>
        <w:t>Diabetic peripheral neuropathy.</w:t>
      </w:r>
    </w:p>
    <w:p>
      <w:pPr>
        <w:pStyle w:val="ListBullet"/>
        <w:spacing w:after="30"/>
      </w:pPr>
      <w:r>
        <w:rPr>
          <w:rFonts w:ascii="Arial" w:hAnsi="Arial"/>
          <w:b w:val="0"/>
          <w:i w:val="0"/>
          <w:color w:val="232830"/>
          <w:sz w:val="19"/>
        </w:rPr>
        <w:t>Obstructive sleep apnea.</w:t>
      </w:r>
    </w:p>
    <w:p>
      <w:pPr>
        <w:pStyle w:val="ListBullet"/>
        <w:spacing w:after="30"/>
      </w:pPr>
      <w:r>
        <w:rPr>
          <w:rFonts w:ascii="Arial" w:hAnsi="Arial"/>
          <w:b w:val="0"/>
          <w:i w:val="0"/>
          <w:color w:val="232830"/>
          <w:sz w:val="19"/>
        </w:rPr>
        <w:t>PMR with chronic prednisone exposure and rheumatology follow-up.</w:t>
      </w:r>
    </w:p>
    <w:p>
      <w:pPr>
        <w:pStyle w:val="ListBullet"/>
        <w:spacing w:after="30"/>
      </w:pPr>
      <w:r>
        <w:rPr>
          <w:rFonts w:ascii="Arial" w:hAnsi="Arial"/>
          <w:b w:val="0"/>
          <w:i w:val="0"/>
          <w:color w:val="232830"/>
          <w:sz w:val="19"/>
        </w:rPr>
        <w:t>Anemia of CKD.</w:t>
      </w:r>
    </w:p>
    <w:p>
      <w:pPr>
        <w:pStyle w:val="ListBullet"/>
        <w:spacing w:after="30"/>
      </w:pPr>
      <w:r>
        <w:rPr>
          <w:rFonts w:ascii="Arial" w:hAnsi="Arial"/>
          <w:b w:val="0"/>
          <w:i w:val="0"/>
          <w:color w:val="232830"/>
          <w:sz w:val="19"/>
        </w:rPr>
        <w:t>Osteoporosis/osteopenia related to chronic steroid exposure.</w:t>
      </w:r>
    </w:p>
    <w:p>
      <w:pPr>
        <w:pStyle w:val="ListBullet"/>
        <w:spacing w:after="30"/>
      </w:pPr>
      <w:r>
        <w:rPr>
          <w:rFonts w:ascii="Arial" w:hAnsi="Arial"/>
          <w:b w:val="0"/>
          <w:i w:val="0"/>
          <w:color w:val="232830"/>
          <w:sz w:val="19"/>
        </w:rPr>
        <w:t>Class I obesity.</w:t>
      </w:r>
    </w:p>
    <w:p>
      <w:pPr>
        <w:pStyle w:val="ListBullet"/>
        <w:spacing w:after="30"/>
      </w:pPr>
      <w:r>
        <w:rPr>
          <w:rFonts w:ascii="Arial" w:hAnsi="Arial"/>
          <w:b w:val="0"/>
          <w:i w:val="0"/>
          <w:color w:val="232830"/>
          <w:sz w:val="19"/>
        </w:rPr>
        <w:t>Chronic GERD / acid-suppression indication.</w:t>
      </w:r>
    </w:p>
    <w:p>
      <w:pPr>
        <w:pStyle w:val="ListBullet"/>
        <w:spacing w:after="30"/>
      </w:pPr>
      <w:r>
        <w:rPr>
          <w:rFonts w:ascii="Arial" w:hAnsi="Arial"/>
          <w:b w:val="0"/>
          <w:i w:val="0"/>
          <w:color w:val="232830"/>
          <w:sz w:val="19"/>
        </w:rPr>
        <w:t>Chronic constipation tendency.</w:t>
      </w:r>
    </w:p>
    <w:p>
      <w:r>
        <w:rPr>
          <w:rFonts w:ascii="Arial" w:hAnsi="Arial"/>
          <w:b w:val="0"/>
          <w:i w:val="0"/>
          <w:color w:val="232830"/>
          <w:sz w:val="19"/>
        </w:rPr>
        <w:t>Baseline comparator anchors in primary care context:</w:t>
      </w:r>
    </w:p>
    <w:p>
      <w:pPr>
        <w:pStyle w:val="ListBullet"/>
        <w:spacing w:after="30"/>
      </w:pPr>
      <w:r>
        <w:rPr>
          <w:rFonts w:ascii="Arial" w:hAnsi="Arial"/>
          <w:b w:val="0"/>
          <w:i w:val="0"/>
          <w:color w:val="232830"/>
          <w:sz w:val="19"/>
        </w:rPr>
        <w:t>CKD stage 3 with usual creatinine around 1.6-1.8 mg/dL.</w:t>
      </w:r>
    </w:p>
    <w:p>
      <w:pPr>
        <w:pStyle w:val="ListBullet"/>
        <w:spacing w:after="30"/>
      </w:pPr>
      <w:r>
        <w:rPr>
          <w:rFonts w:ascii="Arial" w:hAnsi="Arial"/>
          <w:b w:val="0"/>
          <w:i w:val="0"/>
          <w:color w:val="232830"/>
          <w:sz w:val="19"/>
        </w:rPr>
        <w:t>Usual eGFR approximately 40-50 mL/min/1.73 m2.</w:t>
      </w:r>
    </w:p>
    <w:p>
      <w:pPr>
        <w:pStyle w:val="ListBullet"/>
        <w:spacing w:after="30"/>
      </w:pPr>
      <w:r>
        <w:rPr>
          <w:rFonts w:ascii="Arial" w:hAnsi="Arial"/>
          <w:b w:val="0"/>
          <w:i w:val="0"/>
          <w:color w:val="232830"/>
          <w:sz w:val="19"/>
        </w:rPr>
        <w:t>Chronic anemia with hemoglobin generally around 10.5-11.5 g/dL.</w:t>
      </w:r>
    </w:p>
    <w:p>
      <w:pPr>
        <w:pStyle w:val="ListBullet"/>
        <w:spacing w:after="30"/>
      </w:pPr>
      <w:r>
        <w:rPr>
          <w:rFonts w:ascii="Arial" w:hAnsi="Arial"/>
          <w:b w:val="0"/>
          <w:i w:val="0"/>
          <w:color w:val="232830"/>
          <w:sz w:val="19"/>
        </w:rPr>
        <w:t>Type 2 diabetes with A1c generally in the 7.6-8.2% range.</w:t>
      </w:r>
    </w:p>
    <w:p>
      <w:pPr>
        <w:pStyle w:val="ListBullet"/>
        <w:spacing w:after="30"/>
      </w:pPr>
      <w:r>
        <w:rPr>
          <w:rFonts w:ascii="Arial" w:hAnsi="Arial"/>
          <w:b w:val="0"/>
          <w:i w:val="0"/>
          <w:color w:val="232830"/>
          <w:sz w:val="19"/>
        </w:rPr>
        <w:t>Dry weight approximately 97 kg.</w:t>
      </w:r>
    </w:p>
    <w:p>
      <w:r>
        <w:rPr>
          <w:rFonts w:ascii="Arial" w:hAnsi="Arial"/>
          <w:b w:val="0"/>
          <w:i w:val="0"/>
          <w:color w:val="232830"/>
          <w:sz w:val="19"/>
        </w:rPr>
        <w:t>These are baseline anchors and should not be treated as admission values.</w:t>
      </w:r>
    </w:p>
    <w:p>
      <w:pPr>
        <w:spacing w:before="180" w:after="60"/>
        <w:pBdr>
          <w:bottom w:val="single" w:sz="6" w:color="C9D4EA" w:space="2"/>
        </w:pBdr>
      </w:pPr>
      <w:r>
        <w:rPr>
          <w:rFonts w:ascii="Arial" w:hAnsi="Arial"/>
          <w:b/>
          <w:i w:val="0"/>
          <w:color w:val="4472C4"/>
          <w:sz w:val="20"/>
        </w:rPr>
        <w:t>OUTPATIENT MEDICATION CONTINUITY CONTEXT</w:t>
      </w:r>
    </w:p>
    <w:p>
      <w:r>
        <w:rPr>
          <w:rFonts w:ascii="Arial" w:hAnsi="Arial"/>
          <w:b w:val="0"/>
          <w:i w:val="0"/>
          <w:color w:val="232830"/>
          <w:sz w:val="19"/>
        </w:rPr>
        <w:t>Primary care medication list includes chronic therapy for HFrEF/CAD, diabetes, PMR, neuropathy, anemia/bone health, GERD, and constipation. Primary care list may contain carried-forward medication entries and should not be treated as superior to verified medication reconciliation or rheumatology prednisone guidance.</w:t>
      </w:r>
    </w:p>
    <w:p>
      <w:r>
        <w:rPr>
          <w:rFonts w:ascii="Arial" w:hAnsi="Arial"/>
          <w:b w:val="0"/>
          <w:i w:val="0"/>
          <w:color w:val="232830"/>
          <w:sz w:val="19"/>
        </w:rPr>
        <w:t>Relevant continuity points:</w:t>
      </w:r>
    </w:p>
    <w:p>
      <w:pPr>
        <w:pStyle w:val="ListBullet"/>
        <w:spacing w:after="30"/>
      </w:pPr>
      <w:r>
        <w:rPr>
          <w:rFonts w:ascii="Arial" w:hAnsi="Arial"/>
          <w:b w:val="0"/>
          <w:i w:val="0"/>
          <w:color w:val="232830"/>
          <w:sz w:val="19"/>
        </w:rPr>
        <w:t>Sacubitril/valsartan appears consistent with prior ACE-inhibitor intolerance due to lisinopril cough.</w:t>
      </w:r>
    </w:p>
    <w:p>
      <w:pPr>
        <w:pStyle w:val="ListBullet"/>
        <w:spacing w:after="30"/>
      </w:pPr>
      <w:r>
        <w:rPr>
          <w:rFonts w:ascii="Arial" w:hAnsi="Arial"/>
          <w:b w:val="0"/>
          <w:i w:val="0"/>
          <w:color w:val="232830"/>
          <w:sz w:val="19"/>
        </w:rPr>
        <w:t>Chronic HFrEF/CAD medications have long-term protective purpose but may require acute illness reassessment.</w:t>
      </w:r>
    </w:p>
    <w:p>
      <w:pPr>
        <w:pStyle w:val="ListBullet"/>
        <w:spacing w:after="30"/>
      </w:pPr>
      <w:r>
        <w:rPr>
          <w:rFonts w:ascii="Arial" w:hAnsi="Arial"/>
          <w:b w:val="0"/>
          <w:i w:val="0"/>
          <w:color w:val="232830"/>
          <w:sz w:val="19"/>
        </w:rPr>
        <w:t>Diabetes medications require renal and intake-aware review during acute illness.</w:t>
      </w:r>
    </w:p>
    <w:p>
      <w:pPr>
        <w:pStyle w:val="ListBullet"/>
        <w:spacing w:after="30"/>
      </w:pPr>
      <w:r>
        <w:rPr>
          <w:rFonts w:ascii="Arial" w:hAnsi="Arial"/>
          <w:b w:val="0"/>
          <w:i w:val="0"/>
          <w:color w:val="232830"/>
          <w:sz w:val="19"/>
        </w:rPr>
        <w:t>Prednisone history should be interpreted with rheumatology documentation as the higher-authority source for PMR taper intent.</w:t>
      </w:r>
    </w:p>
    <w:p>
      <w:pPr>
        <w:spacing w:before="180" w:after="60"/>
        <w:pBdr>
          <w:bottom w:val="single" w:sz="6" w:color="C9D4EA" w:space="2"/>
        </w:pBdr>
      </w:pPr>
      <w:r>
        <w:rPr>
          <w:rFonts w:ascii="Arial" w:hAnsi="Arial"/>
          <w:b/>
          <w:i w:val="0"/>
          <w:color w:val="4472C4"/>
          <w:sz w:val="20"/>
        </w:rPr>
        <w:t>PRE-ADMISSION DECLINE RELEVANCE</w:t>
      </w:r>
    </w:p>
    <w:p>
      <w:r>
        <w:rPr>
          <w:rFonts w:ascii="Arial" w:hAnsi="Arial"/>
          <w:b w:val="0"/>
          <w:i w:val="0"/>
          <w:color w:val="232830"/>
          <w:sz w:val="19"/>
        </w:rPr>
        <w:t>Primary care records before hospitalization establish that family support and baseline function are clinically meaningful comparators. If family reports Korvin is not near baseline during hospitalization, that concern should not be dismissed solely because he appears medically improved.</w:t>
      </w:r>
    </w:p>
    <w:p>
      <w:r>
        <w:rPr>
          <w:rFonts w:ascii="Arial" w:hAnsi="Arial"/>
          <w:b w:val="0"/>
          <w:i w:val="0"/>
          <w:color w:val="232830"/>
          <w:sz w:val="19"/>
        </w:rPr>
        <w:t>Primary care context supports the need to assess:</w:t>
      </w:r>
    </w:p>
    <w:p>
      <w:pPr>
        <w:pStyle w:val="ListBullet"/>
        <w:spacing w:after="30"/>
      </w:pPr>
      <w:r>
        <w:rPr>
          <w:rFonts w:ascii="Arial" w:hAnsi="Arial"/>
          <w:b w:val="0"/>
          <w:i w:val="0"/>
          <w:color w:val="232830"/>
          <w:sz w:val="19"/>
        </w:rPr>
        <w:t>mobility compared with baseline</w:t>
      </w:r>
    </w:p>
    <w:p>
      <w:pPr>
        <w:pStyle w:val="ListBullet"/>
        <w:spacing w:after="30"/>
      </w:pPr>
      <w:r>
        <w:rPr>
          <w:rFonts w:ascii="Arial" w:hAnsi="Arial"/>
          <w:b w:val="0"/>
          <w:i w:val="0"/>
          <w:color w:val="232830"/>
          <w:sz w:val="19"/>
        </w:rPr>
        <w:t>cognition compared with baseline</w:t>
      </w:r>
    </w:p>
    <w:p>
      <w:pPr>
        <w:pStyle w:val="ListBullet"/>
        <w:spacing w:after="30"/>
      </w:pPr>
      <w:r>
        <w:rPr>
          <w:rFonts w:ascii="Arial" w:hAnsi="Arial"/>
          <w:b w:val="0"/>
          <w:i w:val="0"/>
          <w:color w:val="232830"/>
          <w:sz w:val="19"/>
        </w:rPr>
        <w:t>medication-management ability</w:t>
      </w:r>
    </w:p>
    <w:p>
      <w:pPr>
        <w:pStyle w:val="ListBullet"/>
        <w:spacing w:after="30"/>
      </w:pPr>
      <w:r>
        <w:rPr>
          <w:rFonts w:ascii="Arial" w:hAnsi="Arial"/>
          <w:b w:val="0"/>
          <w:i w:val="0"/>
          <w:color w:val="232830"/>
          <w:sz w:val="19"/>
        </w:rPr>
        <w:t>home support and caregiver capacity</w:t>
      </w:r>
    </w:p>
    <w:p>
      <w:pPr>
        <w:pStyle w:val="ListBullet"/>
        <w:spacing w:after="30"/>
      </w:pPr>
      <w:r>
        <w:rPr>
          <w:rFonts w:ascii="Arial" w:hAnsi="Arial"/>
          <w:b w:val="0"/>
          <w:i w:val="0"/>
          <w:color w:val="232830"/>
          <w:sz w:val="19"/>
        </w:rPr>
        <w:t>follow-up feasibility</w:t>
      </w:r>
    </w:p>
    <w:p>
      <w:pPr>
        <w:spacing w:before="180" w:after="60"/>
        <w:pBdr>
          <w:bottom w:val="single" w:sz="6" w:color="C9D4EA" w:space="2"/>
        </w:pBdr>
      </w:pPr>
      <w:r>
        <w:rPr>
          <w:rFonts w:ascii="Arial" w:hAnsi="Arial"/>
          <w:b/>
          <w:i w:val="0"/>
          <w:color w:val="4472C4"/>
          <w:sz w:val="20"/>
        </w:rPr>
        <w:t>GUARDRAIL</w:t>
      </w:r>
    </w:p>
    <w:p>
      <w:r>
        <w:rPr>
          <w:rFonts w:ascii="Arial" w:hAnsi="Arial"/>
          <w:b w:val="0"/>
          <w:i w:val="0"/>
          <w:color w:val="232830"/>
          <w:sz w:val="19"/>
        </w:rPr>
        <w:t>This primary care summary supports baseline and continuity reasoning. It does not determine inpatient disposition, final medication plan, prednisone taper truth, or discharge readiness by itself.</w:t>
      </w:r>
    </w:p>
    <w:p>
      <w:pPr>
        <w:spacing w:before="200"/>
        <w:pBdr>
          <w:top w:val="single" w:sz="4" w:color="C9D4EA" w:space="4"/>
        </w:pBdr>
      </w:pPr>
      <w:r>
        <w:rPr>
          <w:rFonts w:ascii="Arial" w:hAnsi="Arial"/>
          <w:b w:val="0"/>
          <w:i/>
          <w:color w:val="5E6670"/>
          <w:sz w:val="18"/>
        </w:rPr>
        <w:t>Electronically signed by Dr. Talia Quenor / primary care documentation  |  Primary Care</w:t>
      </w:r>
    </w:p>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Primary care outpatient baseline summary  |  Synthetic training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  |  DOB 02/18/1964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