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color w:val="5E6670"/>
                <w:sz w:val="16"/>
              </w:rPr>
              <w:t>Care Management</w:t>
            </w:r>
          </w:p>
        </w:tc>
        <w:tc>
          <w:tcPr>
            <w:tcW w:type="dxa" w:w="51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4472C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4"/>
              </w:rP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086"/>
            <w:gridSpan w:val="3"/>
            <w:shd w:val="clear" w:color="auto" w:fill="4472C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 w:cs="Arial" w:eastAsia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665"/>
            <w:shd w:val="clear" w:color="auto" w:fill="4472C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3118"/>
            <w:shd w:val="clear" w:color="auto" w:fill="EDF2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 w:cs="Arial" w:eastAsia="Arial"/>
                <w:b w:val="0"/>
                <w:i w:val="0"/>
                <w:color w:val="232830"/>
                <w:sz w:val="16"/>
              </w:rPr>
              <w:t>HD5–HD6 through 05/22/2026</w:t>
            </w:r>
          </w:p>
        </w:tc>
        <w:tc>
          <w:tcPr>
            <w:tcW w:type="dxa" w:w="1984"/>
            <w:shd w:val="clear" w:color="auto" w:fill="EDF2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 w:cs="Arial" w:eastAsia="Arial"/>
                <w:b w:val="0"/>
                <w:i w:val="0"/>
                <w:color w:val="232830"/>
                <w:sz w:val="16"/>
              </w:rPr>
              <w:t>Case Management / Social Work</w:t>
            </w:r>
          </w:p>
        </w:tc>
        <w:tc>
          <w:tcPr>
            <w:tcW w:type="dxa" w:w="1984"/>
            <w:shd w:val="clear" w:color="auto" w:fill="EDF2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 w:cs="Arial" w:eastAsia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665"/>
            <w:shd w:val="clear" w:color="auto" w:fill="EDF2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 w:cs="Arial" w:eastAsia="Arial"/>
                <w:b w:val="0"/>
                <w:i w:val="0"/>
                <w:color w:val="232830"/>
                <w:sz w:val="16"/>
              </w:rPr>
              <w:t>Home support / equipment reference</w:t>
            </w:r>
          </w:p>
        </w:tc>
      </w:tr>
    </w:tbl>
    <w:p>
      <w:pPr>
        <w:spacing w:before="40" w:after="40"/>
      </w:pPr>
    </w:p>
    <w:p>
      <w:pPr>
        <w:spacing w:before="40" w:after="60"/>
      </w:pPr>
      <w:r>
        <w:rPr>
          <w:rFonts w:ascii="Arial" w:hAnsi="Arial" w:cs="Arial" w:eastAsia="Arial"/>
          <w:b/>
          <w:i w:val="0"/>
          <w:color w:val="1F3864"/>
          <w:sz w:val="22"/>
        </w:rPr>
        <w:t>HOME SUPPORT / EQUIPMENT REFERENCE</w:t>
      </w:r>
    </w:p>
    <w:p>
      <w:pPr>
        <w:spacing w:before="0" w:after="40"/>
      </w:pPr>
      <w:r>
        <w:rPr>
          <w:rFonts w:ascii="Arial" w:hAnsi="Arial" w:cs="Arial" w:eastAsia="Arial"/>
          <w:b w:val="0"/>
          <w:i w:val="0"/>
          <w:color w:val="5E6670"/>
          <w:sz w:val="17"/>
        </w:rPr>
        <w:t xml:space="preserve">Author: Priya Ostroff, RN, BSN, CCM  |  </w:t>
      </w:r>
      <w:r>
        <w:rPr>
          <w:rFonts w:ascii="Arial" w:hAnsi="Arial" w:cs="Arial" w:eastAsia="Arial"/>
          <w:b w:val="0"/>
          <w:i w:val="0"/>
          <w:color w:val="5E6670"/>
          <w:sz w:val="17"/>
        </w:rPr>
        <w:t xml:space="preserve">Co-reviewer: Devra Aimes, LCSW  |  </w:t>
      </w:r>
      <w:r>
        <w:rPr>
          <w:rFonts w:ascii="Arial" w:hAnsi="Arial" w:cs="Arial" w:eastAsia="Arial"/>
          <w:b w:val="0"/>
          <w:i w:val="0"/>
          <w:color w:val="5E6670"/>
          <w:sz w:val="17"/>
        </w:rPr>
        <w:t xml:space="preserve">Patient FIN: KM-2026-051877  |  </w:t>
      </w:r>
      <w:r>
        <w:rPr>
          <w:rFonts w:ascii="Arial" w:hAnsi="Arial" w:cs="Arial" w:eastAsia="Arial"/>
          <w:b w:val="0"/>
          <w:i w:val="0"/>
          <w:color w:val="5E6670"/>
          <w:sz w:val="17"/>
        </w:rPr>
        <w:t>Status: Supplementary — under review</w:t>
      </w:r>
    </w:p>
    <w:p>
      <w:pPr>
        <w:spacing w:before="80" w:after="80"/>
      </w:pPr>
      <w:r>
        <w:t>Reference compiled by Case Management for transition-of-care discussion. This is a supplementary working document of options under review. It is not a discharge order, a service authorization, or a confirmation of any logistical arrangement. Items listed reflect options under discussion as of this document; final disposition depends on the integrated medical and functional plan once the primary team and consultants reconcile restart timing, supervision needs, and follow-up structure.</w:t>
      </w:r>
    </w:p>
    <w:p>
      <w:pPr>
        <w:spacing w:before="160" w:after="60"/>
      </w:pPr>
      <w:r>
        <w:rPr>
          <w:rFonts w:ascii="Arial" w:hAnsi="Arial" w:cs="Arial" w:eastAsia="Arial"/>
          <w:b/>
          <w:i w:val="0"/>
          <w:color w:val="1F3864"/>
          <w:sz w:val="20"/>
        </w:rPr>
        <w:t>1.  HOME ENVIRONMENT AS REPORTED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Address: 1842 Larchmere Lane, Bridgehollow, PA 15214 (home phone (412) 555-0227; mobile (412) 555-0228).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/>
          <w:i w:val="0"/>
          <w:color w:val="232830"/>
          <w:sz w:val="19"/>
        </w:rPr>
        <w:t>Single-story</w:t>
      </w:r>
      <w:r>
        <w:rPr>
          <w:rFonts w:ascii="Arial" w:hAnsi="Arial" w:cs="Arial" w:eastAsia="Arial"/>
          <w:b w:val="0"/>
          <w:i w:val="0"/>
          <w:color w:val="232830"/>
          <w:sz w:val="19"/>
        </w:rPr>
        <w:t xml:space="preserve"> home; bedroom on main level; no interior stairs.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/>
          <w:i w:val="0"/>
          <w:color w:val="232830"/>
          <w:sz w:val="19"/>
        </w:rPr>
        <w:t>Three exterior steps</w:t>
      </w:r>
      <w:r>
        <w:rPr>
          <w:rFonts w:ascii="Arial" w:hAnsi="Arial" w:cs="Arial" w:eastAsia="Arial"/>
          <w:b w:val="0"/>
          <w:i w:val="0"/>
          <w:color w:val="232830"/>
          <w:sz w:val="19"/>
        </w:rPr>
        <w:t xml:space="preserve"> to the front entry; no documented handrail status — to be verified with family before any device recommendation is finalized.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One half-bath on main level.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Lives with wife Mara Merrow (primary contact, (412) 555-0229); adult daughter Lenora Merrow-Halsey provides intermittent support ((412) 555-0231).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Loose rugs reported in walking paths per family description.</w:t>
      </w:r>
    </w:p>
    <w:p>
      <w:pPr>
        <w:spacing w:before="160" w:after="60"/>
      </w:pPr>
      <w:r>
        <w:rPr>
          <w:rFonts w:ascii="Arial" w:hAnsi="Arial" w:cs="Arial" w:eastAsia="Arial"/>
          <w:b/>
          <w:i w:val="0"/>
          <w:color w:val="1F3864"/>
          <w:sz w:val="20"/>
        </w:rPr>
        <w:t>2.  BASELINE ASSISTIVE DEVICE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Cane used intermittently at baseline, primarily for longer distances or “bad days.” No consistent device-use pattern reported pre-admission.</w:t>
      </w:r>
    </w:p>
    <w:p>
      <w:pPr>
        <w:spacing w:before="160" w:after="60"/>
      </w:pPr>
      <w:r>
        <w:rPr>
          <w:rFonts w:ascii="Arial" w:hAnsi="Arial" w:cs="Arial" w:eastAsia="Arial"/>
          <w:b/>
          <w:i w:val="0"/>
          <w:color w:val="1F3864"/>
          <w:sz w:val="20"/>
        </w:rPr>
        <w:t>3.  CANDIDATE POST-DISCHARGE EQUIPMENT (OPTIONS UNDER DISCUSSION)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The items below reflect Physical Therapy and Occupational Therapy suggestions captured during HD3–HD5 assessments. They are listed for planning purposes only; vendor selection, sizing, payer authorization, and family acceptance have not been worked through.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/>
          <w:i w:val="0"/>
          <w:color w:val="232830"/>
          <w:sz w:val="19"/>
        </w:rPr>
        <w:t>Rolling walker</w:t>
      </w:r>
      <w:r>
        <w:rPr>
          <w:rFonts w:ascii="Arial" w:hAnsi="Arial" w:cs="Arial" w:eastAsia="Arial"/>
          <w:b w:val="0"/>
          <w:i w:val="0"/>
          <w:color w:val="232830"/>
          <w:sz w:val="19"/>
        </w:rPr>
        <w:t xml:space="preserve"> — per PT recommendation in view of current endurance and orthostatic vulnerability; intended for the early post-discharge period.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/>
          <w:i w:val="0"/>
          <w:color w:val="232830"/>
          <w:sz w:val="19"/>
        </w:rPr>
        <w:t>Bedside commode</w:t>
      </w:r>
      <w:r>
        <w:rPr>
          <w:rFonts w:ascii="Arial" w:hAnsi="Arial" w:cs="Arial" w:eastAsia="Arial"/>
          <w:b w:val="0"/>
          <w:i w:val="0"/>
          <w:color w:val="232830"/>
          <w:sz w:val="19"/>
        </w:rPr>
        <w:t xml:space="preserve"> — to consider initially if bathroom distance proves challenging at night, particularly given evening confusion observations.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/>
          <w:i w:val="0"/>
          <w:color w:val="232830"/>
          <w:sz w:val="19"/>
        </w:rPr>
        <w:t>Grab bars</w:t>
      </w:r>
      <w:r>
        <w:rPr>
          <w:rFonts w:ascii="Arial" w:hAnsi="Arial" w:cs="Arial" w:eastAsia="Arial"/>
          <w:b w:val="0"/>
          <w:i w:val="0"/>
          <w:color w:val="232830"/>
          <w:sz w:val="19"/>
        </w:rPr>
        <w:t xml:space="preserve"> in the bathroom — to support seated transfers and toileting.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Removal of loose rugs in walking paths.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Supervised mobility for the first several days at home, scope to be determined.</w:t>
      </w:r>
    </w:p>
    <w:p>
      <w:pPr>
        <w:spacing w:before="160" w:after="60"/>
      </w:pPr>
      <w:r>
        <w:rPr>
          <w:rFonts w:ascii="Arial" w:hAnsi="Arial" w:cs="Arial" w:eastAsia="Arial"/>
          <w:b/>
          <w:i w:val="0"/>
          <w:color w:val="1F3864"/>
          <w:sz w:val="20"/>
        </w:rPr>
        <w:t>4.  CANDIDATE HOME HEALTH AGENCY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/>
          <w:i w:val="0"/>
          <w:color w:val="232830"/>
          <w:sz w:val="19"/>
        </w:rPr>
        <w:t>Keystone HomeCare Services</w:t>
      </w:r>
      <w:r>
        <w:rPr>
          <w:rFonts w:ascii="Arial" w:hAnsi="Arial" w:cs="Arial" w:eastAsia="Arial"/>
          <w:b w:val="0"/>
          <w:i w:val="0"/>
          <w:color w:val="232830"/>
          <w:sz w:val="19"/>
        </w:rPr>
        <w:t xml:space="preserve"> — main line (412) 555-0631; intake fax (412) 555-0632. Eligibility review and acceptance are pending; no referral has been finalized.</w:t>
      </w:r>
    </w:p>
    <w:p>
      <w:pPr>
        <w:spacing w:before="160" w:after="60"/>
      </w:pPr>
      <w:r>
        <w:rPr>
          <w:rFonts w:ascii="Arial" w:hAnsi="Arial" w:cs="Arial" w:eastAsia="Arial"/>
          <w:b/>
          <w:i w:val="0"/>
          <w:color w:val="1F3864"/>
          <w:sz w:val="20"/>
        </w:rPr>
        <w:t>5.  PHARMACY ACCESS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/>
          <w:i w:val="0"/>
          <w:color w:val="232830"/>
          <w:sz w:val="19"/>
        </w:rPr>
        <w:t>Harbor Crest Community Pharmacy</w:t>
      </w:r>
      <w:r>
        <w:rPr>
          <w:rFonts w:ascii="Arial" w:hAnsi="Arial" w:cs="Arial" w:eastAsia="Arial"/>
          <w:b w:val="0"/>
          <w:i w:val="0"/>
          <w:color w:val="232830"/>
          <w:sz w:val="19"/>
        </w:rPr>
        <w:t>, 318 Mill Ridge Road, Bridgehollow, PA 15213; phone (412) 555-0490; fax (412) 555-0491. Family-confirmed pickup location for routine fills.</w:t>
      </w:r>
    </w:p>
    <w:p>
      <w:pPr>
        <w:spacing w:before="160" w:after="60"/>
      </w:pPr>
      <w:r>
        <w:rPr>
          <w:rFonts w:ascii="Arial" w:hAnsi="Arial" w:cs="Arial" w:eastAsia="Arial"/>
          <w:b/>
          <w:i w:val="0"/>
          <w:color w:val="1F3864"/>
          <w:sz w:val="20"/>
        </w:rPr>
        <w:t>6.  OUTPATIENT LABORATORY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Mercy Vale Outpatient Laboratory — Harbor Crest, 215 Harbor Crest Way, Suite 110, Bridgehollow, PA 15211; phone (412) 555-0455. Convenient to the Harbor Crest primary-care clinic if early renal/electrolyte monitoring is ordered.</w:t>
      </w:r>
    </w:p>
    <w:p>
      <w:pPr>
        <w:spacing w:before="160" w:after="60"/>
      </w:pPr>
      <w:r>
        <w:rPr>
          <w:rFonts w:ascii="Arial" w:hAnsi="Arial" w:cs="Arial" w:eastAsia="Arial"/>
          <w:b/>
          <w:i w:val="0"/>
          <w:color w:val="1F3864"/>
          <w:sz w:val="20"/>
        </w:rPr>
        <w:t>7.  TRANSPORTATION OPTIONS UNDER DISCUSSION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Family vehicle (Mara or daughter) for short-notice trips and routine follow-up.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Insurance-linked non-emergency medical transport via Keystone Senior Supplement Plan G (benefit verification pending; not initiated).</w:t>
      </w:r>
    </w:p>
    <w:p>
      <w:pPr>
        <w:pStyle w:val="ListBullet"/>
        <w:spacing w:before="0" w:after="40"/>
      </w:pPr>
      <w:r>
        <w:rPr>
          <w:rFonts w:ascii="Arial" w:hAnsi="Arial" w:cs="Arial" w:eastAsia="Arial"/>
          <w:b w:val="0"/>
          <w:i w:val="0"/>
          <w:color w:val="232830"/>
          <w:sz w:val="19"/>
        </w:rPr>
        <w:t>Local community senior van service noted by family as available with advance booking; details to be confirmed.</w:t>
      </w:r>
    </w:p>
    <w:p>
      <w:pPr>
        <w:spacing w:before="160" w:after="60"/>
      </w:pPr>
      <w:r>
        <w:t>8.  STATUS</w:t>
      </w:r>
    </w:p>
    <w:p>
      <w:pPr>
        <w:spacing w:before="0" w:after="160"/>
      </w:pPr>
      <w:r>
        <w:t>This reference exists to keep transition logistics visible while the integrated medical-functional plan is still being assembled. It carries planning context only and is never the sole critical evidence for a discharge decision. Equipment, services, pharmacy access, lab logistics, and transportation each remain under review and must be reconciled with the overall integrated care plan before any item is acted upon.</w:t>
      </w:r>
    </w:p>
    <w:p>
      <w:pPr>
        <w:spacing w:before="120" w:after="0"/>
      </w:pPr>
      <w:r>
        <w:rPr>
          <w:rFonts w:ascii="Arial" w:hAnsi="Arial" w:cs="Arial" w:eastAsia="Arial"/>
          <w:b w:val="0"/>
          <w:i/>
          <w:color w:val="5E6670"/>
          <w:sz w:val="18"/>
        </w:rPr>
        <w:t>Electronically signed by Priya Ostroff, RN, BSN, CCM — Care Management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E6670"/>
          <w:sz w:val="18"/>
        </w:rPr>
        <w:t>Co-reviewed by Devra Aimes, LCSW — Social Work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