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213"/>
        <w:gridCol w:w="5213"/>
      </w:tblGrid>
      <w:tr>
        <w:tc>
          <w:tcPr>
            <w:tcW w:type="dxa" w:w="5213"/>
          </w:tcPr>
          <w:p>
            <w:pPr>
              <w:spacing w:after="0"/>
            </w:pPr>
            <w:r>
              <w:rPr>
                <w:rFonts w:ascii="Arial" w:hAnsi="Arial"/>
                <w:b/>
                <w:i w:val="0"/>
                <w:color w:val="1F3864"/>
                <w:sz w:val="22"/>
              </w:rPr>
              <w:t>MERCY VALE REGIONAL MEDICAL CENTER</w:t>
            </w:r>
          </w:p>
          <w:p>
            <w:pPr>
              <w:spacing w:after="0"/>
            </w:pPr>
            <w:r>
              <w:rPr>
                <w:rFonts w:ascii="Arial" w:hAnsi="Arial"/>
                <w:b w:val="0"/>
                <w:i w:val="0"/>
                <w:color w:val="5E6670"/>
                <w:sz w:val="16"/>
              </w:rPr>
              <w:t>Hospital Medicine</w:t>
            </w:r>
          </w:p>
          <w:p>
            <w:pPr>
              <w:spacing w:after="0"/>
            </w:pPr>
            <w:r>
              <w:rPr>
                <w:rFonts w:ascii="Arial" w:hAnsi="Arial"/>
                <w:b w:val="0"/>
                <w:i w:val="0"/>
                <w:color w:val="5E6670"/>
                <w:sz w:val="16"/>
              </w:rPr>
              <w:t>5 Harbor Crest Way, Bridgehollow, PA 15211</w:t>
            </w:r>
          </w:p>
          <w:p>
            <w:pPr>
              <w:spacing w:after="0"/>
            </w:pPr>
            <w:r>
              <w:rPr>
                <w:rFonts w:ascii="Arial" w:hAnsi="Arial"/>
                <w:b w:val="0"/>
                <w:i w:val="0"/>
                <w:color w:val="5E6670"/>
                <w:sz w:val="16"/>
              </w:rPr>
              <w:t>Main: (412) 555-0143</w:t>
            </w:r>
          </w:p>
        </w:tc>
        <w:tc>
          <w:tcPr>
            <w:tcW w:type="dxa" w:w="5213"/>
          </w:tcPr>
          <w:p>
            <w:pPr>
              <w:spacing w:after="0"/>
              <w:jc w:val="right"/>
            </w:pPr>
            <w:r>
              <w:rPr>
                <w:rFonts w:ascii="Arial" w:hAnsi="Arial"/>
                <w:b/>
                <w:i w:val="0"/>
                <w:color w:val="4472C4"/>
                <w:sz w:val="17"/>
              </w:rPr>
              <w:t>Confidential</w:t>
            </w:r>
          </w:p>
          <w:p>
            <w:pPr>
              <w:spacing w:after="0"/>
              <w:jc w:val="right"/>
            </w:pPr>
            <w:r>
              <w:rPr>
                <w:rFonts w:ascii="Arial" w:hAnsi="Arial"/>
                <w:b w:val="0"/>
                <w:i w:val="0"/>
                <w:color w:val="5E6670"/>
                <w:sz w:val="16"/>
              </w:rPr>
              <w:t>Medical Records</w:t>
            </w:r>
          </w:p>
        </w:tc>
      </w:tr>
    </w:tbl>
    <w:p>
      <w:pPr>
        <w:spacing w:after="0"/>
      </w:pPr>
    </w:p>
    <w:tbl>
      <w:tblPr>
        <w:tblW w:type="auto" w:w="0"/>
        <w:tblLook w:firstColumn="1" w:firstRow="1" w:lastColumn="0" w:lastRow="0" w:noHBand="0" w:noVBand="1" w:val="04A0"/>
        <w:tblBorders>
          <w:top w:val="nil"/>
          <w:left w:val="nil"/>
          <w:bottom w:val="nil"/>
          <w:right w:val="nil"/>
          <w:insideH w:val="nil"/>
          <w:insideV w:val="nil"/>
        </w:tblBorders>
      </w:tblPr>
      <w:tblGrid>
        <w:gridCol w:w="2606"/>
        <w:gridCol w:w="2606"/>
        <w:gridCol w:w="2606"/>
        <w:gridCol w:w="2606"/>
      </w:tblGrid>
      <w:tr>
        <w:tc>
          <w:tcPr>
            <w:tcW w:type="dxa" w:w="7818"/>
            <w:gridSpan w:val="3"/>
            <w:shd w:val="clear" w:color="auto" w:fill="4472C4"/>
            <w:vAlign w:val="center"/>
          </w:tcPr>
          <w:p>
            <w:pPr>
              <w:spacing w:before="80" w:after="80"/>
            </w:pPr>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606"/>
            <w:shd w:val="clear" w:color="auto" w:fill="4472C4"/>
            <w:vAlign w:val="center"/>
          </w:tcPr>
          <w:p>
            <w:pPr>
              <w:spacing w:before="80" w:after="80"/>
              <w:jc w:val="right"/>
            </w:pPr>
            <w:r>
              <w:rPr>
                <w:rFonts w:ascii="Arial" w:hAnsi="Arial"/>
                <w:b/>
                <w:i w:val="0"/>
                <w:color w:val="FFFFFF"/>
                <w:sz w:val="20"/>
              </w:rPr>
              <w:t xml:space="preserve">MRN KM-6427819  </w:t>
            </w:r>
          </w:p>
        </w:tc>
      </w:tr>
      <w:tr>
        <w:tc>
          <w:tcPr>
            <w:tcW w:type="dxa" w:w="2606"/>
            <w:shd w:val="clear" w:color="auto" w:fill="EDF2FA"/>
            <w:vAlign w:val="center"/>
          </w:tcPr>
          <w:p>
            <w:pPr>
              <w:spacing w:before="60" w:after="60"/>
            </w:pPr>
            <w:r>
              <w:rPr>
                <w:rFonts w:ascii="Arial" w:hAnsi="Arial"/>
                <w:b/>
                <w:i w:val="0"/>
                <w:color w:val="5E6670"/>
                <w:sz w:val="14"/>
              </w:rPr>
              <w:t>Date / Anchor</w:t>
              <w:br/>
            </w:r>
            <w:r>
              <w:rPr>
                <w:rFonts w:ascii="Arial" w:hAnsi="Arial"/>
                <w:b w:val="0"/>
                <w:i w:val="0"/>
                <w:color w:val="232830"/>
                <w:sz w:val="16"/>
              </w:rPr>
              <w:t>05/20/2026 / HD3</w:t>
            </w:r>
          </w:p>
        </w:tc>
        <w:tc>
          <w:tcPr>
            <w:tcW w:type="dxa" w:w="2606"/>
            <w:shd w:val="clear" w:color="auto" w:fill="EDF2FA"/>
            <w:vAlign w:val="center"/>
          </w:tcPr>
          <w:p>
            <w:pPr>
              <w:spacing w:before="60" w:after="60"/>
            </w:pPr>
            <w:r>
              <w:rPr>
                <w:rFonts w:ascii="Arial" w:hAnsi="Arial"/>
                <w:b/>
                <w:i w:val="0"/>
                <w:color w:val="5E6670"/>
                <w:sz w:val="14"/>
              </w:rPr>
              <w:t>Service</w:t>
              <w:br/>
            </w:r>
            <w:r>
              <w:rPr>
                <w:rFonts w:ascii="Arial" w:hAnsi="Arial"/>
                <w:b w:val="0"/>
                <w:i w:val="0"/>
                <w:color w:val="232830"/>
                <w:sz w:val="16"/>
              </w:rPr>
              <w:t>Hospital Medicine</w:t>
            </w:r>
          </w:p>
        </w:tc>
        <w:tc>
          <w:tcPr>
            <w:tcW w:type="dxa" w:w="2606"/>
            <w:shd w:val="clear" w:color="auto" w:fill="EDF2FA"/>
            <w:vAlign w:val="center"/>
          </w:tcPr>
          <w:p>
            <w:pPr>
              <w:spacing w:before="60" w:after="60"/>
            </w:pPr>
            <w:r>
              <w:rPr>
                <w:rFonts w:ascii="Arial" w:hAnsi="Arial"/>
                <w:b/>
                <w:i w:val="0"/>
                <w:color w:val="5E6670"/>
                <w:sz w:val="14"/>
              </w:rPr>
              <w:t>Allergies</w:t>
              <w:br/>
            </w:r>
            <w:r>
              <w:rPr>
                <w:rFonts w:ascii="Arial" w:hAnsi="Arial"/>
                <w:b w:val="0"/>
                <w:i w:val="0"/>
                <w:color w:val="232830"/>
                <w:sz w:val="16"/>
              </w:rPr>
              <w:t>Lisinopril (cough)</w:t>
            </w:r>
          </w:p>
        </w:tc>
        <w:tc>
          <w:tcPr>
            <w:tcW w:type="dxa" w:w="2606"/>
            <w:shd w:val="clear" w:color="auto" w:fill="EDF2FA"/>
            <w:vAlign w:val="center"/>
          </w:tcPr>
          <w:p>
            <w:pPr>
              <w:spacing w:before="60" w:after="60"/>
            </w:pPr>
            <w:r>
              <w:rPr>
                <w:rFonts w:ascii="Arial" w:hAnsi="Arial"/>
                <w:b/>
                <w:i w:val="0"/>
                <w:color w:val="5E6670"/>
                <w:sz w:val="14"/>
              </w:rPr>
              <w:t>Document</w:t>
              <w:br/>
            </w:r>
            <w:r>
              <w:rPr>
                <w:rFonts w:ascii="Arial" w:hAnsi="Arial"/>
                <w:b w:val="0"/>
                <w:i w:val="0"/>
                <w:color w:val="232830"/>
                <w:sz w:val="16"/>
              </w:rPr>
              <w:t>HD3 hospitalist progress documentation</w:t>
            </w:r>
          </w:p>
        </w:tc>
      </w:tr>
    </w:tbl>
    <w:p>
      <w:pPr>
        <w:spacing w:after="0"/>
      </w:pPr>
    </w:p>
    <w:p>
      <w:pPr>
        <w:spacing w:before="200" w:after="40"/>
      </w:pPr>
      <w:r>
        <w:rPr>
          <w:rFonts w:ascii="Arial" w:hAnsi="Arial"/>
          <w:b/>
          <w:i w:val="0"/>
          <w:color w:val="1F3864"/>
          <w:sz w:val="28"/>
        </w:rPr>
        <w:t>HD3 HOSPITALIST PROGRESS DOCUMENTATION</w:t>
      </w:r>
    </w:p>
    <w:p>
      <w:pPr>
        <w:spacing w:after="80"/>
      </w:pPr>
      <w:r>
        <w:rPr>
          <w:rFonts w:ascii="Arial" w:hAnsi="Arial"/>
          <w:b w:val="0"/>
          <w:i w:val="0"/>
          <w:color w:val="5E6670"/>
          <w:sz w:val="16"/>
        </w:rPr>
        <w:t>Author: Elian Vossmere, MD — Hospitalist Attending  |  Co-author: Ines Travyn, MD (PGY-2)  |  05/20/2026 / HD3  |  Status: Signed</w:t>
      </w:r>
    </w:p>
    <w:p>
      <w:pPr>
        <w:spacing w:after="160"/>
      </w:pPr>
      <w:r>
        <w:rPr>
          <w:rFonts w:ascii="Arial" w:hAnsi="Arial"/>
          <w:b w:val="0"/>
          <w:i w:val="0"/>
          <w:color w:val="5E6670"/>
          <w:sz w:val="16"/>
        </w:rPr>
        <w:t>Unit / Room: 5 West Medical / 5W-318   |   Code Status: Full Code   |   Attending: Elian Vossmere, MD (NPI 1528374960)   |   Resident: Ines Travyn, MD (PGY-2)   |   FIN: KM-2026-051877</w:t>
      </w:r>
    </w:p>
    <w:p>
      <w:pPr>
        <w:spacing w:before="200" w:after="80"/>
      </w:pPr>
      <w:r>
        <w:rPr>
          <w:rFonts w:ascii="Arial" w:hAnsi="Arial"/>
          <w:b/>
          <w:i w:val="0"/>
          <w:color w:val="4472C4"/>
          <w:sz w:val="20"/>
        </w:rPr>
        <w:t>SUBJECTIVE</w:t>
      </w:r>
    </w:p>
    <w:p>
      <w:pPr>
        <w:spacing w:after="120"/>
      </w:pPr>
      <w:r>
        <w:rPr>
          <w:rFonts w:ascii="Arial" w:hAnsi="Arial"/>
          <w:b w:val="0"/>
          <w:i w:val="0"/>
          <w:color w:val="232830"/>
          <w:sz w:val="19"/>
        </w:rPr>
        <w:t>Mr. Merrow is more conversational this morning and reports that he is “moving a little better” than yesterday, although he again describes tiring quickly with even brief activity. He took most of breakfast and roughly half of lunch per bedside report. He continues to defer detailed questions about his recent prednisone schedule to his wife and is not internally consistent when asked about the last several weeks of dosing at home.</w:t>
      </w:r>
    </w:p>
    <w:p>
      <w:pPr>
        <w:spacing w:after="120"/>
      </w:pPr>
      <w:r>
        <w:rPr>
          <w:rFonts w:ascii="Arial" w:hAnsi="Arial"/>
          <w:b w:val="0"/>
          <w:i w:val="0"/>
          <w:color w:val="232830"/>
          <w:sz w:val="19"/>
        </w:rPr>
        <w:t>Mara was present for rounds. Her summary, captured verbatim in the family communication record, was: “Korvin looks better but not back to usual self.” She elaborated that he is slower to organize simple tasks, needs more prompting through morning routines, and has not demonstrated the level of independent mobility she would expect at baseline. She raised concern about whether improvement on the floor will translate to safe medication management at home.</w:t>
      </w:r>
    </w:p>
    <w:p>
      <w:pPr>
        <w:spacing w:before="200" w:after="80"/>
      </w:pPr>
      <w:r>
        <w:rPr>
          <w:rFonts w:ascii="Arial" w:hAnsi="Arial"/>
          <w:b/>
          <w:i w:val="0"/>
          <w:color w:val="4472C4"/>
          <w:sz w:val="20"/>
        </w:rPr>
        <w:t>OBJECTIVE</w:t>
      </w:r>
    </w:p>
    <w:p>
      <w:pPr>
        <w:spacing w:after="120"/>
      </w:pPr>
      <w:r>
        <w:rPr>
          <w:rFonts w:ascii="Arial" w:hAnsi="Arial"/>
          <w:b w:val="0"/>
          <w:i w:val="0"/>
          <w:color w:val="232830"/>
          <w:sz w:val="19"/>
        </w:rPr>
        <w:t>Afebrile or near-afebrile through the past 24 hours, with no documented temperature above 37.6 °C. Hemodynamics: systolic 106–124 mmHg, diastolic 60–72 mmHg, heart rate 82–94 bpm, SpO₂ 95–96% on room air. Intake by nursing 55–70% of meals across shifts. Repeat chemistries: creatinine 2.12 mg/dL (improved from 2.38 yesterday and 2.62 on admission, still above outpatient baseline of 1.6–1.8), BUN 39, potassium 4.7, WBC 11.9 (down from 13.8), glucose range 160–240 across point-of-care checks. Exam: less dry-appearing, JVP not elevated, lungs clear, trace ankle edema unchanged, no new murmur or gallop, slow but coherent in conversation, no new focal neurologic findings.</w:t>
      </w:r>
    </w:p>
    <w:p>
      <w:pPr>
        <w:spacing w:before="200" w:after="80"/>
      </w:pPr>
      <w:r>
        <w:rPr>
          <w:rFonts w:ascii="Arial" w:hAnsi="Arial"/>
          <w:b/>
          <w:i w:val="0"/>
          <w:color w:val="4472C4"/>
          <w:sz w:val="20"/>
        </w:rPr>
        <w:t>ASSESSMENT &amp; PLAN</w:t>
      </w:r>
    </w:p>
    <w:p>
      <w:pPr>
        <w:spacing w:after="120"/>
      </w:pPr>
      <w:r>
        <w:rPr>
          <w:rFonts w:ascii="Arial" w:hAnsi="Arial"/>
          <w:b/>
          <w:i w:val="0"/>
          <w:color w:val="232830"/>
          <w:sz w:val="19"/>
        </w:rPr>
        <w:t>1. Suspected urinary-source infection — continued response.</w:t>
      </w:r>
      <w:r>
        <w:rPr>
          <w:rFonts w:ascii="Arial" w:hAnsi="Arial"/>
          <w:b w:val="0"/>
          <w:i w:val="0"/>
          <w:color w:val="232830"/>
          <w:sz w:val="19"/>
        </w:rPr>
        <w:t xml:space="preserve"> WBC and fever curve continue to improve. Empiric IV antibiotics continue pending culture speciation and sensitivities. The initial infection frame remains reasonable; it is not being treated as a sufficient explanation for the full clinical picture, particularly the residual weakness and cognitive slowing.</w:t>
      </w:r>
    </w:p>
    <w:p>
      <w:pPr>
        <w:spacing w:after="120"/>
      </w:pPr>
      <w:r>
        <w:rPr>
          <w:rFonts w:ascii="Arial" w:hAnsi="Arial"/>
          <w:b/>
          <w:i w:val="0"/>
          <w:color w:val="232830"/>
          <w:sz w:val="19"/>
        </w:rPr>
        <w:t>2. AKI on CKD — continued improvement, not yet at baseline.</w:t>
      </w:r>
      <w:r>
        <w:rPr>
          <w:rFonts w:ascii="Arial" w:hAnsi="Arial"/>
          <w:b w:val="0"/>
          <w:i w:val="0"/>
          <w:color w:val="232830"/>
          <w:sz w:val="19"/>
        </w:rPr>
        <w:t xml:space="preserve"> Creatinine 2.62 → 2.38 → 2.12. Potassium 4.7. Trajectory is favorable but values remain above outpatient anchors, and pressures, while improved, are not robust. Continue cautious fluid strategy, daily metabolic panel, strict I/O.</w:t>
      </w:r>
    </w:p>
    <w:p>
      <w:pPr>
        <w:spacing w:after="120"/>
      </w:pPr>
      <w:r>
        <w:t>3. HFrEF / CAD protective regimen — restart timing remains conditional. Sacubitril/valsartan, spironolactone, furosemide, empagliflozin, and metformin remain held. Carvedilol continues as cautious shift-level administration with hold parameters in place. Cardiology (Dr. Caldrane) and Nephrology (Dr. Solthar) have each entered HD3 addenda; both are reviewed and acknowledged, and the positions remain dated. No restart is being executed today. Restart sequencing will be defined by monitored parameters — sustained creatinine trajectory, potassium, blood pressure margin, intake and weight — rather than by elapsed days alone. The two consultant perspectives are not being collapsed into one another in this note.</w:t>
      </w:r>
    </w:p>
    <w:p>
      <w:pPr>
        <w:spacing w:after="120"/>
      </w:pPr>
      <w:r>
        <w:t>4. Diabetes management. Insulin glargine continued with inpatient adjustment for intake and renal trajectory. Inpatient correctional lispro continues per protocol.</w:t>
      </w:r>
    </w:p>
    <w:p>
      <w:pPr>
        <w:spacing w:after="120"/>
      </w:pPr>
      <w:r>
        <w:rPr>
          <w:rFonts w:ascii="Arial" w:hAnsi="Arial"/>
          <w:b/>
          <w:i w:val="0"/>
          <w:color w:val="232830"/>
          <w:sz w:val="19"/>
        </w:rPr>
        <w:t>5. Polymyalgia rheumatica / prednisone provenance — still unresolved.</w:t>
      </w:r>
      <w:r>
        <w:rPr>
          <w:rFonts w:ascii="Arial" w:hAnsi="Arial"/>
          <w:b w:val="0"/>
          <w:i w:val="0"/>
          <w:color w:val="232830"/>
          <w:sz w:val="19"/>
        </w:rPr>
        <w:t xml:space="preserve"> Outpatient rheumatology records have been requested but the rheumatology source has not yet been fully reviewed at this hospital day. Patient recollection, family report, pharmacy fill directions, and bottle labels remain internally inconsistent. No verified recent outpatient daily dose is being asserted from inpatient sources. Interim inpatient steroid handling continues; final outpatient taper interpretation will await the rheumatology source. Endocrinology involvement has been discussed and will be considered as the steroid history is reconstructed; no diagnosis of adrenal suppression is being asserted.</w:t>
      </w:r>
    </w:p>
    <w:p>
      <w:pPr>
        <w:spacing w:after="120"/>
      </w:pPr>
      <w:r>
        <w:rPr>
          <w:rFonts w:ascii="Arial" w:hAnsi="Arial"/>
          <w:b/>
          <w:i w:val="0"/>
          <w:color w:val="232830"/>
          <w:sz w:val="19"/>
        </w:rPr>
        <w:t>6. Functional and cognitive recovery — now a primary discharge-readiness driver.</w:t>
      </w:r>
      <w:r>
        <w:rPr>
          <w:rFonts w:ascii="Arial" w:hAnsi="Arial"/>
          <w:b w:val="0"/>
          <w:i w:val="0"/>
          <w:color w:val="232830"/>
          <w:sz w:val="19"/>
        </w:rPr>
        <w:t xml:space="preserve"> PT and OT findings are being treated as central rather than supplementary. The team has communicated to Mara that medical improvement is real but not sufficient on its own, and that the medication-management gap on OT testing is directly relevant to home safety. Continue PT and OT daily. Falls precautions, bed alarm, transfer assistance, and evening orientation continue.</w:t>
      </w:r>
    </w:p>
    <w:p>
      <w:pPr>
        <w:spacing w:after="120"/>
      </w:pPr>
      <w:r>
        <w:rPr>
          <w:rFonts w:ascii="Arial" w:hAnsi="Arial"/>
          <w:b/>
          <w:i w:val="0"/>
          <w:color w:val="232830"/>
          <w:sz w:val="19"/>
        </w:rPr>
        <w:t>7. Family communication.</w:t>
      </w:r>
      <w:r>
        <w:rPr>
          <w:rFonts w:ascii="Arial" w:hAnsi="Arial"/>
          <w:b w:val="0"/>
          <w:i w:val="0"/>
          <w:color w:val="232830"/>
          <w:sz w:val="19"/>
        </w:rPr>
        <w:t xml:space="preserve"> Mara updated at the bedside today; her observation that Korvin “looks better but not back to usual self” is documented and being treated as baseline-informed collateral, not as anxiety to be reassured away.</w:t>
      </w:r>
    </w:p>
    <w:p>
      <w:pPr>
        <w:spacing w:before="200" w:after="80"/>
      </w:pPr>
      <w:r>
        <w:rPr>
          <w:rFonts w:ascii="Arial" w:hAnsi="Arial"/>
          <w:b/>
          <w:i w:val="0"/>
          <w:color w:val="4472C4"/>
          <w:sz w:val="20"/>
        </w:rPr>
        <w:t>OPEN QUESTIONS CARRIED FORWARD</w:t>
      </w:r>
    </w:p>
    <w:p>
      <w:pPr>
        <w:pStyle w:val="ListBullet"/>
        <w:spacing w:after="40"/>
      </w:pPr>
      <w:r>
        <w:rPr>
          <w:rFonts w:ascii="Arial" w:hAnsi="Arial"/>
          <w:b w:val="0"/>
          <w:i w:val="0"/>
          <w:color w:val="232830"/>
          <w:sz w:val="19"/>
        </w:rPr>
        <w:t>Prednisone provenance remains unresolved; awaiting outpatient rheumatology source before any outpatient taper interpretation is finalized.</w:t>
      </w:r>
    </w:p>
    <w:p>
      <w:pPr>
        <w:pStyle w:val="ListBullet"/>
        <w:spacing w:after="40"/>
      </w:pPr>
      <w:r>
        <w:rPr>
          <w:rFonts w:ascii="Arial" w:hAnsi="Arial"/>
          <w:b w:val="0"/>
          <w:i w:val="0"/>
          <w:color w:val="232830"/>
          <w:sz w:val="19"/>
        </w:rPr>
        <w:t>Cardiorenal restart sequencing remains conditional on continued renal recovery, hemodynamic margin, potassium, and intake; the cardiology and nephrology addenda are acknowledged but not collapsed into a single position.</w:t>
      </w:r>
    </w:p>
    <w:p>
      <w:pPr>
        <w:pStyle w:val="ListBullet"/>
        <w:spacing w:after="40"/>
      </w:pPr>
      <w:r>
        <w:rPr>
          <w:rFonts w:ascii="Arial" w:hAnsi="Arial"/>
          <w:b w:val="0"/>
          <w:i w:val="0"/>
          <w:color w:val="232830"/>
          <w:sz w:val="19"/>
        </w:rPr>
        <w:t>Functional and cognitive trajectory now defines a meaningful portion of readiness assessment; medical improvement alone does not close this question.</w:t>
      </w:r>
    </w:p>
    <w:p>
      <w:pPr>
        <w:spacing w:before="200" w:after="80"/>
      </w:pPr>
      <w:r>
        <w:rPr>
          <w:rFonts w:ascii="Arial" w:hAnsi="Arial"/>
          <w:b/>
          <w:i w:val="0"/>
          <w:color w:val="4472C4"/>
          <w:sz w:val="20"/>
        </w:rPr>
        <w:t>DISPOSITION</w:t>
      </w:r>
    </w:p>
    <w:p>
      <w:pPr>
        <w:spacing w:after="120"/>
      </w:pPr>
      <w:r>
        <w:rPr>
          <w:rFonts w:ascii="Arial" w:hAnsi="Arial"/>
          <w:b w:val="0"/>
          <w:i w:val="0"/>
          <w:color w:val="232830"/>
          <w:sz w:val="19"/>
        </w:rPr>
        <w:t>Continue inpatient management. Medical trajectory continues to improve, but renal recovery is incomplete, the cardiorenal regimen remains in deferred restart, prednisone provenance is unresolved, and PT/OT have documented functional and cognitive gaps that are directly relevant to safe outpatient medication handling. Reassess with consultant input and repeat therapy review over the next 24–48 hours.</w:t>
      </w:r>
    </w:p>
    <w:p>
      <w:pPr>
        <w:spacing w:before="160" w:after="40"/>
      </w:pPr>
      <w:r>
        <w:rPr>
          <w:rFonts w:ascii="Arial" w:hAnsi="Arial"/>
          <w:b w:val="0"/>
          <w:i/>
          <w:color w:val="5E6670"/>
          <w:sz w:val="18"/>
        </w:rPr>
        <w:t>Electronically signed by Elian Vossmere, MD — Hospitalist Attending, Hospital Medicine</w:t>
      </w:r>
    </w:p>
    <w:p>
      <w:pPr>
        <w:spacing w:before="160" w:after="40"/>
      </w:pPr>
      <w:r>
        <w:rPr>
          <w:rFonts w:ascii="Arial" w:hAnsi="Arial"/>
          <w:b w:val="0"/>
          <w:i/>
          <w:color w:val="5E6670"/>
          <w:sz w:val="18"/>
        </w:rPr>
        <w:t>Co-signed by Ines Travyn, MD (PGY-2), Hospital Medicine</w:t>
      </w:r>
    </w:p>
    <w:p>
      <w:pPr>
        <w:spacing w:after="80"/>
      </w:pP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808080"/>
        <w:sz w:val="15"/>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