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p>
    <w:tbl>
      <w:tblPr>
        <w:tblW w:type="auto" w:w="0"/>
        <w:tblLayout w:type="fixed"/>
        <w:tblLook w:firstColumn="1" w:firstRow="1" w:lastColumn="0" w:lastRow="0" w:noHBand="0" w:noVBand="1" w:val="04A0"/>
      </w:tblPr>
      <w:tblGrid>
        <w:gridCol w:w="5184"/>
        <w:gridCol w:w="5184"/>
      </w:tblGrid>
      <w:tr>
        <w:tc>
          <w:tcPr>
            <w:tcW w:type="dxa" w:w="7200"/>
            <w:tcBorders>
              <w:top w:val="single" w:sz="4" w:space="0" w:color="BFC7D1"/>
              <w:left w:val="single" w:sz="4" w:space="0" w:color="BFC7D1"/>
              <w:bottom w:val="single" w:sz="4" w:space="0" w:color="BFC7D1"/>
              <w:right w:val="single" w:sz="4" w:space="0" w:color="BFC7D1"/>
            </w:tcBorders>
            <w:vAlign w:val="center"/>
            <w:shd w:val="clear" w:color="auto" w:fill="D9E2F3"/>
          </w:tcPr>
          <w:p>
            <w:pPr>
              <w:spacing w:before="40" w:after="0" w:line="276" w:lineRule="auto"/>
            </w:pPr>
            <w:r>
              <w:rPr>
                <w:rFonts w:ascii="Arial" w:hAnsi="Arial"/>
                <w:b/>
                <w:i w:val="0"/>
                <w:color w:val="1F3864"/>
                <w:sz w:val="22"/>
              </w:rPr>
              <w:t>MERCY VALE REGIONAL MEDICAL CENTER</w:t>
            </w:r>
          </w:p>
          <w:p>
            <w:pPr>
              <w:spacing w:before="0" w:after="40" w:line="276" w:lineRule="auto"/>
            </w:pPr>
            <w:r>
              <w:rPr>
                <w:rFonts w:ascii="Arial" w:hAnsi="Arial"/>
                <w:b w:val="0"/>
                <w:i w:val="0"/>
                <w:color w:val="5E6670"/>
                <w:sz w:val="18"/>
              </w:rPr>
              <w:t>Nursing</w:t>
            </w:r>
          </w:p>
          <w:p>
            <w:r>
              <w:t>5 Harbor Crest Way, Bridgehollow, PA 15211  ·  Nursing: (412) 555-0143</w:t>
            </w:r>
          </w:p>
        </w:tc>
        <w:tc>
          <w:tcPr>
            <w:tcW w:type="dxa" w:w="3168"/>
            <w:tcBorders>
              <w:top w:val="single" w:sz="4" w:space="0" w:color="BFC7D1"/>
              <w:left w:val="single" w:sz="4" w:space="0" w:color="BFC7D1"/>
              <w:bottom w:val="single" w:sz="4" w:space="0" w:color="BFC7D1"/>
              <w:right w:val="single" w:sz="4" w:space="0" w:color="BFC7D1"/>
            </w:tcBorders>
            <w:vAlign w:val="center"/>
            <w:shd w:val="clear" w:color="auto" w:fill="D9E2F3"/>
          </w:tcPr>
          <w:p>
            <w:pPr>
              <w:spacing w:before="80" w:after="80" w:line="276" w:lineRule="auto"/>
              <w:jc w:val="right"/>
            </w:pPr>
            <w:r>
              <w:rPr>
                <w:rFonts w:ascii="Arial" w:hAnsi="Arial"/>
                <w:b/>
                <w:i w:val="0"/>
                <w:color w:val="1F3864"/>
                <w:sz w:val="19"/>
              </w:rPr>
              <w:t>Confidential</w:t>
            </w:r>
          </w:p>
        </w:tc>
      </w:tr>
    </w:tbl>
    <w:p>
      <w:pPr>
        <w:spacing w:before="40" w:after="40" w:line="276" w:lineRule="auto"/>
      </w:pPr>
    </w:p>
    <w:tbl>
      <w:tblPr>
        <w:tblW w:type="auto" w:w="0"/>
        <w:tblLayout w:type="fixed"/>
        <w:tblLook w:firstColumn="1" w:firstRow="1" w:lastColumn="0" w:lastRow="0" w:noHBand="0" w:noVBand="1" w:val="04A0"/>
      </w:tblPr>
      <w:tblGrid>
        <w:gridCol w:w="2592"/>
        <w:gridCol w:w="2592"/>
        <w:gridCol w:w="2592"/>
        <w:gridCol w:w="2592"/>
      </w:tblGrid>
      <w:tr>
        <w:tc>
          <w:tcPr>
            <w:tcW w:type="dxa" w:w="8208"/>
            <w:gridSpan w:val="3"/>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1F3864"/>
                <w:sz w:val="24"/>
              </w:rPr>
              <w:t>KORVIN MERROW</w:t>
            </w:r>
            <w:r>
              <w:rPr>
                <w:rFonts w:ascii="Arial" w:hAnsi="Arial"/>
                <w:b w:val="0"/>
                <w:i w:val="0"/>
                <w:color w:val="232830"/>
                <w:sz w:val="19"/>
              </w:rPr>
              <w:t xml:space="preserve">    62 y  |  Male  |  DOB 02/18/1964</w:t>
            </w:r>
          </w:p>
        </w:tc>
        <w:tc>
          <w:tcPr>
            <w:tcW w:type="dxa" w:w="2160"/>
            <w:tcBorders>
              <w:top w:val="single" w:sz="4" w:space="0" w:color="BFC7D1"/>
              <w:left w:val="single" w:sz="4" w:space="0" w:color="BFC7D1"/>
              <w:bottom w:val="single" w:sz="4" w:space="0" w:color="BFC7D1"/>
              <w:right w:val="single" w:sz="4" w:space="0" w:color="BFC7D1"/>
            </w:tcBorders>
            <w:vAlign w:val="top"/>
          </w:tcPr>
          <w:p>
            <w:pPr>
              <w:spacing w:before="80" w:after="20" w:line="276" w:lineRule="auto"/>
              <w:jc w:val="right"/>
            </w:pPr>
            <w:r>
              <w:rPr>
                <w:rFonts w:ascii="Arial" w:hAnsi="Arial"/>
                <w:b/>
                <w:i w:val="0"/>
                <w:color w:val="1F3864"/>
                <w:sz w:val="19"/>
              </w:rPr>
              <w:t>MRN KM-6427819</w:t>
            </w:r>
          </w:p>
        </w:tc>
      </w:tr>
      <w:tr>
        <w:tc>
          <w:tcPr>
            <w:tcW w:type="dxa" w:w="3456"/>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Date / Anchor</w:t>
            </w:r>
          </w:p>
          <w:p>
            <w:pPr>
              <w:spacing w:before="0" w:after="60" w:line="276" w:lineRule="auto"/>
            </w:pPr>
            <w:r>
              <w:rPr>
                <w:rFonts w:ascii="Arial" w:hAnsi="Arial"/>
                <w:b w:val="0"/>
                <w:i w:val="0"/>
                <w:color w:val="232830"/>
                <w:sz w:val="18"/>
              </w:rPr>
              <w:t>HD1–HD6 through 05/23/2026 18:00</w:t>
            </w:r>
          </w:p>
        </w:tc>
        <w:tc>
          <w:tcPr>
            <w:tcW w:type="dxa" w:w="2448"/>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Unit</w:t>
            </w:r>
          </w:p>
          <w:p>
            <w:pPr>
              <w:spacing w:before="0" w:after="60" w:line="276" w:lineRule="auto"/>
            </w:pPr>
            <w:r>
              <w:rPr>
                <w:rFonts w:ascii="Arial" w:hAnsi="Arial"/>
                <w:b w:val="0"/>
                <w:i w:val="0"/>
                <w:color w:val="232830"/>
                <w:sz w:val="18"/>
              </w:rPr>
              <w:t>5 West Medical, Room 5W-318</w:t>
            </w:r>
          </w:p>
        </w:tc>
        <w:tc>
          <w:tcPr>
            <w:tcW w:type="dxa" w:w="2304"/>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Allergies</w:t>
            </w:r>
          </w:p>
          <w:p>
            <w:pPr>
              <w:spacing w:before="0" w:after="60" w:line="276" w:lineRule="auto"/>
            </w:pPr>
            <w:r>
              <w:rPr>
                <w:rFonts w:ascii="Arial" w:hAnsi="Arial"/>
                <w:b w:val="0"/>
                <w:i w:val="0"/>
                <w:color w:val="232830"/>
                <w:sz w:val="18"/>
              </w:rPr>
              <w:t>Lisinopril (cough)</w:t>
            </w:r>
          </w:p>
        </w:tc>
        <w:tc>
          <w:tcPr>
            <w:tcW w:type="dxa" w:w="2160"/>
            <w:tcBorders>
              <w:top w:val="single" w:sz="4" w:space="0" w:color="BFC7D1"/>
              <w:left w:val="single" w:sz="4" w:space="0" w:color="BFC7D1"/>
              <w:bottom w:val="single" w:sz="4" w:space="0" w:color="BFC7D1"/>
              <w:right w:val="single" w:sz="4" w:space="0" w:color="BFC7D1"/>
            </w:tcBorders>
            <w:vAlign w:val="top"/>
          </w:tcPr>
          <w:p>
            <w:pPr>
              <w:spacing w:before="60" w:after="20" w:line="276" w:lineRule="auto"/>
            </w:pPr>
            <w:r>
              <w:rPr>
                <w:rFonts w:ascii="Arial" w:hAnsi="Arial"/>
                <w:b/>
                <w:i w:val="0"/>
                <w:color w:val="5E6670"/>
                <w:sz w:val="16"/>
              </w:rPr>
              <w:t>Document</w:t>
            </w:r>
          </w:p>
          <w:p>
            <w:pPr>
              <w:spacing w:before="0" w:after="60" w:line="276" w:lineRule="auto"/>
            </w:pPr>
            <w:r>
              <w:rPr>
                <w:rFonts w:ascii="Arial" w:hAnsi="Arial"/>
                <w:b w:val="0"/>
                <w:i w:val="0"/>
                <w:color w:val="232830"/>
                <w:sz w:val="18"/>
              </w:rPr>
              <w:t>Bedside nursing observation flowsheet summary</w:t>
            </w:r>
          </w:p>
        </w:tc>
      </w:tr>
    </w:tbl>
    <w:p>
      <w:pPr>
        <w:spacing w:before="80" w:after="40" w:line="276" w:lineRule="auto"/>
      </w:pPr>
    </w:p>
    <w:p>
      <w:pPr>
        <w:spacing w:before="40" w:after="40" w:line="276" w:lineRule="auto"/>
      </w:pPr>
      <w:r>
        <w:rPr>
          <w:rFonts w:ascii="Arial" w:hAnsi="Arial"/>
          <w:b/>
          <w:i w:val="0"/>
          <w:color w:val="1F3864"/>
          <w:sz w:val="28"/>
        </w:rPr>
        <w:t>BEDSIDE NURSING OBSERVATION FLOWSHEET SUMMARY</w:t>
      </w:r>
    </w:p>
    <w:p>
      <w:pPr>
        <w:spacing w:before="0" w:after="160" w:line="276" w:lineRule="auto"/>
      </w:pPr>
      <w:r>
        <w:rPr>
          <w:rFonts w:ascii="Arial" w:hAnsi="Arial"/>
          <w:b w:val="0"/>
          <w:i w:val="0"/>
          <w:color w:val="5E6670"/>
          <w:sz w:val="16"/>
        </w:rPr>
        <w:t>Compiled by: Aila Rensby, RN (day shift, 5W Medical) and Toren Pelvik, RN (night shift, 5W Medical)  |  Department: Nursing  |  HD1–HD6 through 05/23/2026 18:00  |  Status: Signed</w:t>
      </w:r>
    </w:p>
    <w:p>
      <w:pPr>
        <w:spacing w:before="160" w:after="60" w:line="276" w:lineRule="auto"/>
      </w:pPr>
      <w:r>
        <w:rPr>
          <w:rFonts w:ascii="Arial" w:hAnsi="Arial"/>
          <w:b/>
          <w:i w:val="0"/>
          <w:color w:val="4472C4"/>
          <w:sz w:val="20"/>
        </w:rPr>
        <w:t>SOURCE NOTE</w:t>
      </w:r>
    </w:p>
    <w:p>
      <w:pPr>
        <w:spacing w:before="0" w:after="60" w:line="276" w:lineRule="auto"/>
      </w:pPr>
      <w:r>
        <w:t>Compiled bedside nursing observations and flowsheet-style entries from HD1 (05/18/2026) through HD6 (05/23/2026) before 18:00. Day-shift entries authored by Aila Rensby, RN; night-shift entries by Toren Pelvik, RN. Routine time-stamped observations only. Vital signs, intake/output volumes, and respiratory monitoring values are maintained in the EHR vital-signs flowsheet and the renal/infection/hemodynamic trend summary; this compiled observation note is a behavioral/functional supplement only.</w:t>
      </w:r>
    </w:p>
    <w:p>
      <w:pPr>
        <w:spacing w:before="160" w:after="60" w:line="276" w:lineRule="auto"/>
      </w:pPr>
      <w:r>
        <w:rPr>
          <w:rFonts w:ascii="Arial" w:hAnsi="Arial"/>
          <w:b/>
          <w:i w:val="0"/>
          <w:color w:val="4472C4"/>
          <w:sz w:val="20"/>
        </w:rPr>
        <w:t>DAILY OBSERVATION GRID</w:t>
      </w:r>
    </w:p>
    <w:tbl>
      <w:tblPr>
        <w:tblW w:type="auto" w:w="0"/>
        <w:tblLayout w:type="fixed"/>
        <w:tblLook w:firstColumn="1" w:firstRow="1" w:lastColumn="0" w:lastRow="0" w:noHBand="0" w:noVBand="1" w:val="04A0"/>
      </w:tblPr>
      <w:tblGrid>
        <w:gridCol w:w="2074"/>
        <w:gridCol w:w="2074"/>
        <w:gridCol w:w="2074"/>
        <w:gridCol w:w="2074"/>
        <w:gridCol w:w="2074"/>
      </w:tblGrid>
      <w:tr>
        <w:tc>
          <w:tcPr>
            <w:tcW w:type="dxa" w:w="792"/>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HD</w:t>
            </w:r>
          </w:p>
        </w:tc>
        <w:tc>
          <w:tcPr>
            <w:tcW w:type="dxa" w:w="1440"/>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Date</w:t>
            </w:r>
          </w:p>
        </w:tc>
        <w:tc>
          <w:tcPr>
            <w:tcW w:type="dxa" w:w="1944"/>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Oral intake (meals)</w:t>
            </w:r>
          </w:p>
        </w:tc>
        <w:tc>
          <w:tcPr>
            <w:tcW w:type="dxa" w:w="3024"/>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Ambulation / transfers</w:t>
            </w:r>
          </w:p>
        </w:tc>
        <w:tc>
          <w:tcPr>
            <w:tcW w:type="dxa" w:w="3168"/>
            <w:shd w:val="clear" w:color="auto" w:fill="E7EDF7"/>
            <w:tcBorders>
              <w:top w:val="single" w:sz="4" w:space="0" w:color="BFC7D1"/>
              <w:left w:val="single" w:sz="4" w:space="0" w:color="BFC7D1"/>
              <w:bottom w:val="single" w:sz="4" w:space="0" w:color="BFC7D1"/>
              <w:right w:val="single" w:sz="4" w:space="0" w:color="BFC7D1"/>
            </w:tcBorders>
            <w:vAlign w:val="center"/>
          </w:tcPr>
          <w:p>
            <w:pPr>
              <w:spacing w:before="40" w:after="40" w:line="276" w:lineRule="auto"/>
            </w:pPr>
            <w:r>
              <w:rPr>
                <w:rFonts w:ascii="Arial" w:hAnsi="Arial"/>
                <w:b/>
                <w:i w:val="0"/>
                <w:color w:val="1F3864"/>
                <w:sz w:val="17"/>
              </w:rPr>
              <w:t>Evening cognition</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HD1</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05/18</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25–40% (poor)</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Required assistance with transfers; bed and chair only</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Slower to respond; intermittent evening confusion noted on 22:00 rounds (Pelvik)</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HD2</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05/19</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40–55%</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Required assistance with transfers; brief stand at bedside with two-person stand-by</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Intermittent evening confusion at 21:40 and 23:10 checks (Pelvik)</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HD3</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05/20</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55–70%</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Short-distance ambulation with staff supervision; bathroom with stand-by</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Evening confusion still noted intermittently; oriented to person, slower with date (Pelvik 22:30)</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HD4</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05/21</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50–75% (variable across shifts)</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Chair-sitting for portions of day; bathroom transfer with supervision</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Intermittent evening confusion; required re-orientation to plan of care at 21:15 (Pelvik)</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HD5</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05/22</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70–85%</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Short distances with staff nearby; supervision and cues</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Less prominent at routine evening checks; still slower with complex medication or timeline questions (Pelvik 22:00)</w:t>
            </w:r>
          </w:p>
        </w:tc>
      </w:tr>
      <w:tr>
        <w:tc>
          <w:tcPr>
            <w:tcW w:type="dxa" w:w="792"/>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i w:val="0"/>
                <w:color w:val="1F3864"/>
                <w:sz w:val="17"/>
              </w:rPr>
              <w:t>HD6</w:t>
            </w:r>
          </w:p>
        </w:tc>
        <w:tc>
          <w:tcPr>
            <w:tcW w:type="dxa" w:w="1440"/>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05/23 (through 18:00)</w:t>
            </w:r>
          </w:p>
        </w:tc>
        <w:tc>
          <w:tcPr>
            <w:tcW w:type="dxa" w:w="194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75–90%</w:t>
            </w:r>
          </w:p>
        </w:tc>
        <w:tc>
          <w:tcPr>
            <w:tcW w:type="dxa" w:w="3024"/>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Short distances with staff nearby; supervision and cues for sequencing</w:t>
            </w:r>
          </w:p>
        </w:tc>
        <w:tc>
          <w:tcPr>
            <w:tcW w:type="dxa" w:w="3168"/>
            <w:tcBorders>
              <w:top w:val="single" w:sz="4" w:space="0" w:color="BFC7D1"/>
              <w:left w:val="single" w:sz="4" w:space="0" w:color="BFC7D1"/>
              <w:bottom w:val="single" w:sz="4" w:space="0" w:color="BFC7D1"/>
              <w:right w:val="single" w:sz="4" w:space="0" w:color="BFC7D1"/>
            </w:tcBorders>
            <w:vAlign w:val="top"/>
          </w:tcPr>
          <w:p>
            <w:pPr>
              <w:spacing w:before="40" w:after="40" w:line="276" w:lineRule="auto"/>
            </w:pPr>
            <w:r>
              <w:rPr>
                <w:rFonts w:ascii="Arial" w:hAnsi="Arial"/>
                <w:b w:val="0"/>
                <w:i w:val="0"/>
                <w:color w:val="232830"/>
                <w:sz w:val="17"/>
              </w:rPr>
              <w:t>Day-shift only this entry window; afternoon rounds (Rensby 16:45) noted slower responses to multi-step medication questions</w:t>
            </w:r>
          </w:p>
        </w:tc>
      </w:tr>
    </w:tbl>
    <w:p>
      <w:pPr>
        <w:spacing w:before="240" w:after="60" w:line="276" w:lineRule="auto"/>
      </w:pPr>
      <w:r>
        <w:rPr>
          <w:rFonts w:ascii="Arial" w:hAnsi="Arial"/>
          <w:b/>
          <w:i w:val="0"/>
          <w:color w:val="4472C4"/>
          <w:sz w:val="20"/>
        </w:rPr>
        <w:t>TIME-STAMPED NARRATIVE OBSERVATIONS</w:t>
      </w:r>
    </w:p>
    <w:p>
      <w:pPr>
        <w:spacing w:before="120" w:after="40" w:line="276" w:lineRule="auto"/>
      </w:pPr>
      <w:r>
        <w:rPr>
          <w:rFonts w:ascii="Arial" w:hAnsi="Arial"/>
          <w:b/>
          <w:i w:val="0"/>
          <w:color w:val="1F3864"/>
          <w:sz w:val="19"/>
        </w:rPr>
        <w:t>HD1 (05/18) — Rensby day, Pelvik night</w:t>
      </w:r>
    </w:p>
    <w:p>
      <w:pPr>
        <w:spacing w:before="0" w:after="40" w:line="276" w:lineRule="auto"/>
      </w:pPr>
      <w:r>
        <w:rPr>
          <w:rFonts w:ascii="Arial" w:hAnsi="Arial"/>
          <w:b w:val="0"/>
          <w:i w:val="0"/>
          <w:color w:val="232830"/>
          <w:sz w:val="19"/>
        </w:rPr>
        <w:t>14:20 (Rensby): Arrived from ED. Fatigued, cooperative, oriented to person; slower to state date. Required two-person assist for bed-to-chair transfer. Lunch tray attempted, completed approximately one-quarter. 16:10: Mara at bedside; asked questions about IV fluids and antibiotics; provided collateral on home medication routine and recent decline. 19:30 (Pelvik handoff start): Korvin lying quietly, asking for water; cleared throat several times. 22:05: Evening confusion noted — patient attempted to get out of bed without call light to “go check on the dog,” redirected and reassured. 02:40: Sleeping; respirations regular.</w:t>
      </w:r>
    </w:p>
    <w:p>
      <w:pPr>
        <w:spacing w:before="120" w:after="40" w:line="276" w:lineRule="auto"/>
      </w:pPr>
      <w:r>
        <w:rPr>
          <w:rFonts w:ascii="Arial" w:hAnsi="Arial"/>
          <w:b/>
          <w:i w:val="0"/>
          <w:color w:val="1F3864"/>
          <w:sz w:val="19"/>
        </w:rPr>
        <w:t>HD2 (05/19) — Rensby day, Pelvik night</w:t>
      </w:r>
    </w:p>
    <w:p>
      <w:pPr>
        <w:spacing w:before="0" w:after="40" w:line="276" w:lineRule="auto"/>
      </w:pPr>
      <w:r>
        <w:rPr>
          <w:rFonts w:ascii="Arial" w:hAnsi="Arial"/>
          <w:b w:val="0"/>
          <w:i w:val="0"/>
          <w:color w:val="232830"/>
          <w:sz w:val="19"/>
        </w:rPr>
        <w:t>08:15 (Rensby): Breakfast at bedside; approximately 45% intake of solids, full juice. Required minimum assist x1 to stand at bedside for linen change. 10:30: Mara present; questions about whether the “heart medications” had been restarted; nursing referred to medical team. 13:50: Lunch approximately 50%. 21:50 (Pelvik): Re-oriented patient to room and reason for admission after he asked whether he was at the rheumatology clinic. 23:10: Brief evening confusion recurrence; redirected without difficulty.</w:t>
      </w:r>
    </w:p>
    <w:p>
      <w:pPr>
        <w:spacing w:before="120" w:after="40" w:line="276" w:lineRule="auto"/>
      </w:pPr>
      <w:r>
        <w:rPr>
          <w:rFonts w:ascii="Arial" w:hAnsi="Arial"/>
          <w:b/>
          <w:i w:val="0"/>
          <w:color w:val="1F3864"/>
          <w:sz w:val="19"/>
        </w:rPr>
        <w:t>HD3 (05/20) — Rensby day, Pelvik night</w:t>
      </w:r>
    </w:p>
    <w:p>
      <w:pPr>
        <w:spacing w:before="0" w:after="40" w:line="276" w:lineRule="auto"/>
      </w:pPr>
      <w:r>
        <w:rPr>
          <w:rFonts w:ascii="Arial" w:hAnsi="Arial"/>
          <w:b w:val="0"/>
          <w:i w:val="0"/>
          <w:color w:val="232830"/>
          <w:sz w:val="19"/>
        </w:rPr>
        <w:t>09:00 (Rensby): More awake; participated in morning hygiene with seated rest periods. Ambulated from bed to chair, approximately 8 feet, with staff supervision. 11:20: Mara at bedside during PT session in adjacent area. 14:00: Lunch approximately 65%. 14:30: Medication pass — patient correctly named aspirin and atorvastatin, was uncertain whether he had already taken the morning insulin; nursing verified per MAR. He became less reliable when asked about recent dose changes and could not state his current prednisone taper schedule. 22:30 (Pelvik): Evening confusion intermittently noted; oriented to person and place, slower with date.</w:t>
      </w:r>
    </w:p>
    <w:p>
      <w:pPr>
        <w:spacing w:before="120" w:after="40" w:line="276" w:lineRule="auto"/>
      </w:pPr>
      <w:r>
        <w:rPr>
          <w:rFonts w:ascii="Arial" w:hAnsi="Arial"/>
          <w:b/>
          <w:i w:val="0"/>
          <w:color w:val="1F3864"/>
          <w:sz w:val="19"/>
        </w:rPr>
        <w:t>HD4 (05/21) — Rensby day, Pelvik night</w:t>
      </w:r>
    </w:p>
    <w:p>
      <w:pPr>
        <w:spacing w:before="0" w:after="40" w:line="276" w:lineRule="auto"/>
      </w:pPr>
      <w:r>
        <w:rPr>
          <w:rFonts w:ascii="Arial" w:hAnsi="Arial"/>
          <w:b w:val="0"/>
          <w:i w:val="0"/>
          <w:color w:val="232830"/>
          <w:sz w:val="19"/>
        </w:rPr>
        <w:t>08:40 (Rensby): Awake, pleasant; sat in chair for breakfast, intake approximately 55%. 10:15: Asked twice within ten minutes whether he had taken his “morning pills”; nursing reviewed administration with him. 12:30: Lunch intake approximately 70% (better appetite this meal). 15:00: Bathroom transfer with supervision; gait slow, cautious. 16:20: Mara asked about steroid history; expressed uncertainty about whether Korvin had been following the intended prednisone taper at home. Nursing documented as family collateral. 21:15 (Pelvik): Required re-orientation to plan of care; intermittent evening confusion. 02:10: Sleeping.</w:t>
      </w:r>
    </w:p>
    <w:p>
      <w:pPr>
        <w:spacing w:before="120" w:after="40" w:line="276" w:lineRule="auto"/>
      </w:pPr>
      <w:r>
        <w:rPr>
          <w:rFonts w:ascii="Arial" w:hAnsi="Arial"/>
          <w:b/>
          <w:i w:val="0"/>
          <w:color w:val="1F3864"/>
          <w:sz w:val="19"/>
        </w:rPr>
        <w:t>HD5 (05/22) — Rensby day, Pelvik night</w:t>
      </w:r>
    </w:p>
    <w:p>
      <w:pPr>
        <w:spacing w:before="0" w:after="40" w:line="276" w:lineRule="auto"/>
      </w:pPr>
      <w:r>
        <w:rPr>
          <w:rFonts w:ascii="Arial" w:hAnsi="Arial"/>
          <w:b w:val="0"/>
          <w:i w:val="0"/>
          <w:color w:val="232830"/>
          <w:sz w:val="19"/>
        </w:rPr>
        <w:t>08:25 (Rensby): Breakfast approximately 75%. Ambulated short distance in hallway with staff nearby, supervision and verbal cues for pacing. 11:00: Family care conference attended by Mara; nursing present for portion. 13:45: When asked conversationally whether he had taken his noon medications, Korvin said “I think so” — MAR confirmed administration; he had not been certain. 17:30: Evening meal intake approximately 80%. 22:00 (Pelvik): Evening confusion less prominent on routine checks; still slower with complex medication or timeline questions when asked about the prednisone taper sequence.</w:t>
      </w:r>
    </w:p>
    <w:p>
      <w:pPr>
        <w:spacing w:before="120" w:after="40" w:line="276" w:lineRule="auto"/>
      </w:pPr>
      <w:r>
        <w:rPr>
          <w:rFonts w:ascii="Arial" w:hAnsi="Arial"/>
          <w:b/>
          <w:i w:val="0"/>
          <w:color w:val="1F3864"/>
          <w:sz w:val="19"/>
        </w:rPr>
        <w:t>HD6 (05/23) through 18:00 — Rensby day</w:t>
      </w:r>
    </w:p>
    <w:p>
      <w:pPr>
        <w:spacing w:before="0" w:after="40" w:line="276" w:lineRule="auto"/>
      </w:pPr>
      <w:r>
        <w:rPr>
          <w:rFonts w:ascii="Arial" w:hAnsi="Arial"/>
          <w:b w:val="0"/>
          <w:i w:val="0"/>
          <w:color w:val="232830"/>
          <w:sz w:val="19"/>
        </w:rPr>
        <w:t>07:50 (Rensby): Awake, conversant. Breakfast approximately 85%. Ambulated short distance with staff nearby; supervision and cues for sequencing chair-to-walker. 10:20: Mara at bedside; consistently engaged, asking baseline-relevant questions about medication changes and what supervision Korvin would need at home. Nursing noted family clarifications and reassurances throughout the morning. 12:40: Lunch approximately 80%. 14:15: Medication-teaching observation — patient could recount aspirin, atorvastatin, and pantoprazole; became less reliable when asked about recent dose changes or the prednisone taper. Asked nursing whether he had taken “the kidney pill” already; MAR reviewed. 16:45: Slower responses to multi-step medication questions; oriented to person, place, hospital day with prompt.</w:t>
      </w:r>
    </w:p>
    <w:p>
      <w:pPr>
        <w:spacing w:before="200" w:after="60" w:line="276" w:lineRule="auto"/>
      </w:pPr>
      <w:r>
        <w:rPr>
          <w:rFonts w:ascii="Arial" w:hAnsi="Arial"/>
          <w:b/>
          <w:i w:val="0"/>
          <w:color w:val="4472C4"/>
          <w:sz w:val="20"/>
        </w:rPr>
        <w:t>FAMILY INTERACTIONS</w:t>
      </w:r>
    </w:p>
    <w:p>
      <w:pPr>
        <w:spacing w:before="0" w:after="60" w:line="276" w:lineRule="auto"/>
      </w:pPr>
      <w:r>
        <w:rPr>
          <w:rFonts w:ascii="Arial" w:hAnsi="Arial"/>
          <w:b w:val="0"/>
          <w:i w:val="0"/>
          <w:color w:val="232830"/>
          <w:sz w:val="19"/>
        </w:rPr>
        <w:t>Mara present daily across all six hospital days. Consistently engaged; asked baseline-relevant questions about medication changes, supervision needs, and warning signs. Nursing noted family clarifications and reassurances during medication passes and care discussions. Daughter Lenora present briefly on HD3 and HD5. No documented family conflict with care team during this observation window.</w:t>
      </w:r>
    </w:p>
    <w:p>
      <w:pPr>
        <w:spacing w:before="200" w:after="60" w:line="276" w:lineRule="auto"/>
      </w:pPr>
      <w:r>
        <w:rPr>
          <w:rFonts w:ascii="Arial" w:hAnsi="Arial"/>
          <w:b/>
          <w:i w:val="0"/>
          <w:color w:val="4472C4"/>
          <w:sz w:val="20"/>
        </w:rPr>
        <w:t>SIGNATURES</w:t>
      </w:r>
    </w:p>
    <w:p>
      <w:pPr>
        <w:spacing w:before="40" w:after="40" w:line="276" w:lineRule="auto"/>
      </w:pPr>
      <w:r>
        <w:rPr>
          <w:rFonts w:ascii="Arial" w:hAnsi="Arial"/>
          <w:b w:val="0"/>
          <w:i/>
          <w:color w:val="232830"/>
          <w:sz w:val="19"/>
        </w:rPr>
        <w:t>Electronically signed by Aila Rensby, RN — Day shift, 5 West Medical</w:t>
      </w:r>
    </w:p>
    <w:p>
      <w:pPr>
        <w:spacing w:before="0" w:after="160" w:line="276" w:lineRule="auto"/>
      </w:pPr>
      <w:r>
        <w:rPr>
          <w:rFonts w:ascii="Arial" w:hAnsi="Arial"/>
          <w:b w:val="0"/>
          <w:i/>
          <w:color w:val="232830"/>
          <w:sz w:val="19"/>
        </w:rPr>
        <w:t>Electronically signed by Toren Pelvik, RN — Night shift, 5 West Medical</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Bedside nursing observation flowsheet summary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