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Endocrinology  ·  5 Harbor Crest Way, Bridgehollow, PA 15211  ·  (412) 555-0143</w:t>
            </w:r>
          </w:p>
        </w:tc>
        <w:tc>
          <w:tcPr>
            <w:tcW w:type="dxa" w:w="5184"/>
          </w:tcPr>
          <w:p>
            <w:pPr>
              <w:jc w:val="right"/>
            </w:pPr>
            <w:r>
              <w:rPr>
                <w:rFonts w:ascii="Arial" w:hAnsi="Arial"/>
                <w:b w:val="0"/>
                <w:i w:val="0"/>
                <w:color w:val="5E6670"/>
                <w:sz w:val="16"/>
              </w:rPr>
              <w:t>Endocrinology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160" w:after="80"/>
      </w:pPr>
      <w:r>
        <w:rPr>
          <w:rFonts w:ascii="Arial" w:hAnsi="Arial"/>
          <w:b/>
          <w:i w:val="0"/>
          <w:sz w:val="20"/>
        </w:rPr>
        <w:t>INITIAL CONSULTATION — HD4 / 05/21/2026</w:t>
      </w:r>
    </w:p>
    <w:p>
      <w:pPr>
        <w:spacing w:before="0" w:after="40"/>
      </w:pPr>
      <w:r>
        <w:rPr>
          <w:rFonts w:ascii="Arial" w:hAnsi="Arial"/>
          <w:b/>
          <w:i/>
          <w:sz w:val="19"/>
        </w:rPr>
        <w:t xml:space="preserve">Reason for consultation. </w:t>
      </w:r>
    </w:p>
    <w:p>
      <w:pPr>
        <w:spacing w:before="0" w:after="120"/>
      </w:pPr>
      <w:r>
        <w:rPr>
          <w:rFonts w:ascii="Arial" w:hAnsi="Arial"/>
          <w:b w:val="0"/>
          <w:i w:val="0"/>
          <w:sz w:val="19"/>
        </w:rPr>
        <w:t>Chronic prednisone exposure for polymyalgia rheumatica with several-year history, uncertain recent taper and home adherence, persistent low-reserve symptoms during recovery from suspected urinary-source sepsis, and inpatient diabetes management in the setting of acute illness and AKI-on-CKD.</w:t>
      </w:r>
    </w:p>
    <w:p>
      <w:pPr>
        <w:spacing w:before="0" w:after="40"/>
      </w:pPr>
      <w:r>
        <w:rPr>
          <w:rFonts w:ascii="Arial" w:hAnsi="Arial"/>
          <w:b/>
          <w:i/>
          <w:sz w:val="19"/>
        </w:rPr>
        <w:t xml:space="preserve">History and source review. </w:t>
      </w:r>
    </w:p>
    <w:p>
      <w:pPr>
        <w:spacing w:before="0" w:after="120"/>
      </w:pPr>
      <w:r>
        <w:rPr>
          <w:rFonts w:ascii="Arial" w:hAnsi="Arial"/>
          <w:b w:val="0"/>
          <w:i w:val="0"/>
          <w:sz w:val="19"/>
        </w:rPr>
        <w:t>Outpatient rheumatology provenance (Dr. Soren Halvek, Riverbend Rheumatology Associates) became available today and documents a multi-year PMR course with cautious slow-taper intent, explicit guidance to avoid abrupt discontinuation, and ongoing bone-health therapy consistent with cumulative steroid exposure. No numeric home dose is stated in the rheumatology record. Verified medication reconciliation, pharmacy refill history, family report (Mara Merrow), and the patient's own recollection disagree about what was actually being taken in the days before admission. Bottle directions reportedly do not align with patient account; refill history shows changing directions across fills without confirming adherence.</w:t>
      </w:r>
    </w:p>
    <w:p>
      <w:pPr>
        <w:spacing w:before="0" w:after="40"/>
      </w:pPr>
      <w:r>
        <w:rPr>
          <w:rFonts w:ascii="Arial" w:hAnsi="Arial"/>
          <w:b/>
          <w:i/>
          <w:sz w:val="19"/>
        </w:rPr>
        <w:t xml:space="preserve">Clinical context. </w:t>
      </w:r>
    </w:p>
    <w:p>
      <w:pPr>
        <w:spacing w:before="0" w:after="120"/>
      </w:pPr>
      <w:r>
        <w:rPr>
          <w:rFonts w:ascii="Arial" w:hAnsi="Arial"/>
          <w:b w:val="0"/>
          <w:i w:val="0"/>
          <w:sz w:val="19"/>
        </w:rPr>
        <w:t>Afebrile trend, creatinine 1.98 mg/dL today (down from 2.62 on admission, against a baseline 1.6–1.8), systolic pressures 110–128 mmHg, glucose range today 160–270 mg/dL, intake inconsistent across shifts. Patient reports fatigue and low stamina; nursing notes intermittent evening slowing.</w:t>
      </w:r>
    </w:p>
    <w:p>
      <w:pPr>
        <w:spacing w:before="0" w:after="40"/>
      </w:pPr>
      <w:r>
        <w:rPr>
          <w:rFonts w:ascii="Arial" w:hAnsi="Arial"/>
          <w:b/>
          <w:i/>
          <w:sz w:val="19"/>
        </w:rPr>
        <w:t>Physical examination.</w:t>
      </w:r>
    </w:p>
    <w:p>
      <w:pPr>
        <w:spacing w:before="0" w:after="120"/>
      </w:pPr>
      <w:r>
        <w:rPr>
          <w:rFonts w:ascii="Arial" w:hAnsi="Arial"/>
          <w:b w:val="0"/>
          <w:i w:val="0"/>
          <w:sz w:val="19"/>
        </w:rPr>
        <w:t>Alert and oriented, fatigued-appearing, in no acute distress; interviewed seated in a chair. Vital signs reviewed from today's flowsheet are stable and afebrile, with systolic pressures in the documented 110–128 range. No moon facies, supraclavicular fullness, or dorsocervical prominence. Thyroid without palpable enlargement or nodularity. Cardiac rhythm regular; breathing comfortable on room air. Abdomen soft and nontender; no violaceous striae. Skin without significant ecchymoses, thinning, or other stigmata of chronic glucocorticoid excess. Proximal muscle groups without tenderness on passive range; strength grossly antigravity with deliberate, guarded transfers consistent with therapy assessments. Diminished light-touch sensation in the distal feet, consistent with documented diabetic neuropathy. No hyperpigmentation of skin creases or buccal mucosa. Examination findings neither confirm nor exclude clinically significant hypothalamic-pituitary-adrenal suppression; physical examination is an insensitive instrument for that question in the setting of intercurrent illness.</w:t>
      </w:r>
    </w:p>
    <w:p>
      <w:pPr>
        <w:spacing w:before="0" w:after="40"/>
      </w:pPr>
      <w:r>
        <w:rPr>
          <w:rFonts w:ascii="Arial" w:hAnsi="Arial"/>
          <w:b/>
          <w:i/>
          <w:sz w:val="19"/>
        </w:rPr>
        <w:t xml:space="preserve">Endocrine interpretation. </w:t>
      </w:r>
    </w:p>
    <w:p>
      <w:pPr>
        <w:spacing w:before="0" w:after="120"/>
      </w:pPr>
      <w:r>
        <w:rPr>
          <w:rFonts w:ascii="Arial" w:hAnsi="Arial"/>
          <w:b w:val="0"/>
          <w:i w:val="0"/>
          <w:sz w:val="19"/>
        </w:rPr>
        <w:t xml:space="preserve">The cumulative steroid exposure of this PMR course is clinically relevant in its own right. Years of intermittent corticosteroid therapy carry foreseeable consequences for bone health (already partially addressed with alendronate and calcium/vitamin D), glycemic burden in the setting of established type 2 diabetes, infection vulnerability that overlaps with the admission picture, and the possibility of relative adrenal insufficiency under physiologic stress. That possibility is plausible — it is </w:t>
      </w:r>
      <w:r>
        <w:rPr>
          <w:rFonts w:ascii="Arial" w:hAnsi="Arial"/>
          <w:b w:val="0"/>
          <w:i w:val="0"/>
          <w:sz w:val="19"/>
        </w:rPr>
        <w:t>NOT established</w:t>
      </w:r>
      <w:r>
        <w:rPr>
          <w:rFonts w:ascii="Arial" w:hAnsi="Arial"/>
          <w:b w:val="0"/>
          <w:i w:val="0"/>
          <w:sz w:val="19"/>
        </w:rPr>
        <w:t>. The current hypothalamic-pituitary-adrenal axis cannot be confidently characterized at the bedside during acute illness; meaningful evaluation requires outpatient testing under non-stressed conditions.</w:t>
      </w:r>
    </w:p>
    <w:p>
      <w:pPr>
        <w:spacing w:after="120"/>
      </w:pPr>
      <w:r>
        <w:t>Adrenal insufficiency has not been confirmed at this time; chronic steroid exposure is a risk substrate requiring monitoring on the basis of this note. The concern is that steroid exposure is a real risk substrate, not that it explains the admission.</w:t>
      </w:r>
    </w:p>
    <w:p>
      <w:pPr>
        <w:spacing w:before="40" w:after="40"/>
      </w:pPr>
      <w:r>
        <w:rPr>
          <w:rFonts w:ascii="Arial" w:hAnsi="Arial"/>
          <w:b/>
          <w:i/>
          <w:sz w:val="19"/>
        </w:rPr>
        <w:t>Recommendations.</w:t>
      </w:r>
    </w:p>
    <w:p>
      <w:pPr>
        <w:spacing w:after="60"/>
        <w:ind w:left="432" w:hanging="432"/>
      </w:pPr>
      <w:r>
        <w:rPr>
          <w:rFonts w:ascii="Arial" w:hAnsi="Arial"/>
          <w:b/>
          <w:i w:val="0"/>
          <w:sz w:val="19"/>
        </w:rPr>
        <w:t xml:space="preserve">1. </w:t>
      </w:r>
      <w:r>
        <w:rPr>
          <w:rFonts w:ascii="Arial" w:hAnsi="Arial"/>
          <w:b w:val="0"/>
          <w:i w:val="0"/>
          <w:sz w:val="19"/>
        </w:rPr>
        <w:t>Interim stress-equivalent steroid coverage during this acute illness, with the inpatient team continuing the patient on a non-abrupt steroid course while source reconstruction proceeds. Do not stop steroids abruptly.</w:t>
      </w:r>
    </w:p>
    <w:p>
      <w:pPr>
        <w:spacing w:after="60"/>
        <w:ind w:left="432" w:hanging="432"/>
      </w:pPr>
      <w:r>
        <w:rPr>
          <w:rFonts w:ascii="Arial" w:hAnsi="Arial"/>
          <w:b/>
          <w:i w:val="0"/>
          <w:sz w:val="19"/>
        </w:rPr>
        <w:t xml:space="preserve">2. </w:t>
      </w:r>
      <w:r>
        <w:rPr>
          <w:rFonts w:ascii="Arial" w:hAnsi="Arial"/>
          <w:b w:val="0"/>
          <w:i w:val="0"/>
          <w:sz w:val="19"/>
        </w:rPr>
        <w:t>Outpatient coordination with rheumatology (Dr. Halvek) to finalize a structured taper plan after the acute illness has resolved. Inpatient is not the right setting to set a final long-term taper.</w:t>
      </w:r>
    </w:p>
    <w:p>
      <w:pPr>
        <w:spacing w:after="60"/>
        <w:ind w:left="432" w:hanging="432"/>
      </w:pPr>
      <w:r>
        <w:rPr>
          <w:rFonts w:ascii="Arial" w:hAnsi="Arial"/>
          <w:b/>
          <w:i w:val="0"/>
          <w:sz w:val="19"/>
        </w:rPr>
        <w:t xml:space="preserve">3. </w:t>
      </w:r>
      <w:r>
        <w:rPr>
          <w:rFonts w:ascii="Arial" w:hAnsi="Arial"/>
          <w:b w:val="0"/>
          <w:i w:val="0"/>
          <w:sz w:val="19"/>
        </w:rPr>
        <w:t>Glycemic management: continue insulin glargine with inpatient adjustment based on intake and steroid effect; metformin held during AKI; empagliflozin held during acute illness, with restart timing deferred to coordinated guidance from the renal and cardiac teams once intake and creatinine permit. Recent HbA1c trend (baseline range 7.6–8.2%) supports outpatient regimen review with the primary care physician and endocrinology after discharge rather than a new outpatient agent started in-hospital.</w:t>
      </w:r>
    </w:p>
    <w:p>
      <w:pPr>
        <w:spacing w:after="60"/>
        <w:ind w:left="432" w:hanging="432"/>
      </w:pPr>
      <w:r>
        <w:rPr>
          <w:rFonts w:ascii="Arial" w:hAnsi="Arial"/>
          <w:b/>
          <w:i w:val="0"/>
          <w:sz w:val="19"/>
        </w:rPr>
        <w:t xml:space="preserve">4. </w:t>
      </w:r>
      <w:r>
        <w:rPr>
          <w:rFonts w:ascii="Arial" w:hAnsi="Arial"/>
          <w:b w:val="0"/>
          <w:i w:val="0"/>
          <w:sz w:val="19"/>
        </w:rPr>
        <w:t>Patient and family teaching at discharge regarding stress-dose reasoning if illness recurs, sick-day rules, and the importance of not self-discontinuing prednisone.</w:t>
      </w:r>
    </w:p>
    <w:p>
      <w:pPr>
        <w:spacing w:after="60"/>
        <w:ind w:left="432" w:hanging="432"/>
      </w:pPr>
      <w:r>
        <w:rPr>
          <w:rFonts w:ascii="Arial" w:hAnsi="Arial"/>
          <w:b/>
          <w:i w:val="0"/>
          <w:sz w:val="19"/>
        </w:rPr>
        <w:t xml:space="preserve">5. </w:t>
      </w:r>
      <w:r>
        <w:rPr>
          <w:rFonts w:ascii="Arial" w:hAnsi="Arial"/>
          <w:b w:val="0"/>
          <w:i w:val="0"/>
          <w:sz w:val="19"/>
        </w:rPr>
        <w:t>Monitoring: morning glucose pattern, orthostatic vital signs as mobility advances, and observation for symptoms that would prompt outpatient axis testing.</w:t>
      </w:r>
    </w:p>
    <w:p>
      <w:pPr>
        <w:spacing w:before="80" w:after="40"/>
      </w:pPr>
      <w:r>
        <w:rPr>
          <w:rFonts w:ascii="Arial" w:hAnsi="Arial"/>
          <w:b/>
          <w:i/>
          <w:sz w:val="19"/>
        </w:rPr>
        <w:t xml:space="preserve">Friction with the primary team. </w:t>
      </w:r>
    </w:p>
    <w:p>
      <w:pPr>
        <w:spacing w:before="0" w:after="200"/>
      </w:pPr>
      <w:r>
        <w:t xml:space="preserve">The hospitalist service has cautioned against over-attributing the recovery lag to steroid physiology in the setting of concurrent sepsis-oriented treatment. From the endocrine standpoint, the steroid history is a relevant background risk that warrants safe handling and outpatient follow-through, while the acute illness frame remains the dominant driver. </w:t>
      </w:r>
    </w:p>
    <w:p>
      <w:pPr>
        <w:spacing w:before="160" w:after="80"/>
      </w:pPr>
      <w:r>
        <w:rPr>
          <w:rFonts w:ascii="Arial" w:hAnsi="Arial"/>
          <w:b/>
          <w:i w:val="0"/>
          <w:sz w:val="20"/>
        </w:rPr>
        <w:t>ADDENDUM — HD5 / 05/22/2026</w:t>
      </w:r>
    </w:p>
    <w:p>
      <w:pPr>
        <w:spacing w:before="0" w:after="120"/>
      </w:pPr>
      <w:r>
        <w:rPr>
          <w:rFonts w:ascii="Arial" w:hAnsi="Arial"/>
          <w:b w:val="0"/>
          <w:i w:val="0"/>
          <w:sz w:val="19"/>
        </w:rPr>
        <w:t>Reviewed at bedside this morning. Patient improved from yesterday; intake better, vital signs stable, no symptoms suggestive of decompensated adrenal physiology. Glycemic control somewhat better with the inpatient regimen unchanged.</w:t>
      </w:r>
    </w:p>
    <w:p>
      <w:pPr>
        <w:spacing w:after="200"/>
      </w:pPr>
      <w:r>
        <w:t>I continue to recommend a coordinated outpatient taper plan with rheumatology rather than an inpatient final taper. Of note for the discharge synthesis: the steroid concern is real, but adrenal insufficiency is NOT established. The two statements are meant to live together. Empagliflozin remains held; restart should be sequenced with renal and cardiac team input. Insulin lispro correctional coverage is in place for inpatient glycemic management.</w:t>
      </w:r>
    </w:p>
    <w:p>
      <w:pPr>
        <w:spacing w:before="160" w:after="80"/>
      </w:pPr>
      <w:r>
        <w:rPr>
          <w:rFonts w:ascii="Arial" w:hAnsi="Arial"/>
          <w:b/>
          <w:i w:val="0"/>
          <w:sz w:val="20"/>
        </w:rPr>
        <w:t>ADDENDUM — HD6 / 05/23/2026</w:t>
      </w:r>
    </w:p>
    <w:p>
      <w:pPr>
        <w:spacing w:before="0" w:after="120"/>
      </w:pPr>
      <w:r>
        <w:rPr>
          <w:rFonts w:ascii="Arial" w:hAnsi="Arial"/>
          <w:b w:val="0"/>
          <w:i w:val="0"/>
          <w:sz w:val="19"/>
        </w:rPr>
        <w:t>Patient stable, afebrile, ambulating with supervision per PT. Glucose trend 140–250 mg/dL today. No new endocrine concerns at this review.</w:t>
      </w:r>
    </w:p>
    <w:p>
      <w:pPr>
        <w:spacing w:before="0" w:after="40"/>
      </w:pPr>
      <w:r>
        <w:rPr>
          <w:rFonts w:ascii="Arial" w:hAnsi="Arial"/>
          <w:b/>
          <w:i w:val="0"/>
          <w:sz w:val="19"/>
        </w:rPr>
        <w:t>Plan at discharge:</w:t>
      </w:r>
    </w:p>
    <w:p>
      <w:pPr>
        <w:pStyle w:val="ListBullet"/>
        <w:spacing w:after="60"/>
      </w:pPr>
      <w:r>
        <w:rPr>
          <w:rFonts w:ascii="Arial" w:hAnsi="Arial"/>
          <w:b w:val="0"/>
          <w:i w:val="0"/>
          <w:sz w:val="19"/>
        </w:rPr>
        <w:t xml:space="preserve">Outpatient endocrinology follow-up within 2–4 weeks, coordinated with </w:t>
      </w:r>
      <w:r>
        <w:rPr>
          <w:rFonts w:ascii="Arial" w:hAnsi="Arial"/>
          <w:b w:val="0"/>
          <w:i w:val="0"/>
          <w:sz w:val="19"/>
        </w:rPr>
        <w:t>rheumatology</w:t>
      </w:r>
      <w:r>
        <w:rPr>
          <w:rFonts w:ascii="Arial" w:hAnsi="Arial"/>
          <w:b w:val="0"/>
          <w:i w:val="0"/>
          <w:sz w:val="19"/>
        </w:rPr>
        <w:t>. The taper question belongs in the ambulatory setting where Dr. Halvek's longitudinal view governs.</w:t>
      </w:r>
    </w:p>
    <w:p>
      <w:pPr>
        <w:pStyle w:val="ListBullet"/>
        <w:spacing w:after="60"/>
      </w:pPr>
      <w:r>
        <w:rPr>
          <w:rFonts w:ascii="Arial" w:hAnsi="Arial"/>
          <w:b w:val="0"/>
          <w:i w:val="0"/>
          <w:sz w:val="19"/>
        </w:rPr>
        <w:t>Structured taper instructions to be finalized at discharge by the hospitalist team in consultation with rheumatology; do not invent a new long-term dose from the inpatient record.</w:t>
      </w:r>
    </w:p>
    <w:p>
      <w:pPr>
        <w:pStyle w:val="ListBullet"/>
        <w:spacing w:after="60"/>
      </w:pPr>
      <w:r>
        <w:rPr>
          <w:rFonts w:ascii="Arial" w:hAnsi="Arial"/>
          <w:b w:val="0"/>
          <w:i w:val="0"/>
          <w:sz w:val="19"/>
        </w:rPr>
        <w:t xml:space="preserve">Safe-handling reminder for the patient and Mrs. Merrow: if Korvin develops a febrile illness, persistent vomiting, or significant dehydration after discharge, he should contact his physicians promptly for </w:t>
      </w:r>
      <w:r>
        <w:rPr>
          <w:rFonts w:ascii="Arial" w:hAnsi="Arial"/>
          <w:b w:val="0"/>
          <w:i w:val="0"/>
          <w:sz w:val="19"/>
        </w:rPr>
        <w:t>stress dosing</w:t>
      </w:r>
      <w:r>
        <w:rPr>
          <w:rFonts w:ascii="Arial" w:hAnsi="Arial"/>
          <w:b w:val="0"/>
          <w:i w:val="0"/>
          <w:sz w:val="19"/>
        </w:rPr>
        <w:t xml:space="preserve"> guidance rather than stopping or self-adjusting his steroid.</w:t>
      </w:r>
    </w:p>
    <w:p>
      <w:pPr>
        <w:pStyle w:val="ListBullet"/>
        <w:spacing w:after="60"/>
      </w:pPr>
      <w:r>
        <w:rPr>
          <w:rFonts w:ascii="Arial" w:hAnsi="Arial"/>
          <w:b w:val="0"/>
          <w:i w:val="0"/>
          <w:sz w:val="19"/>
        </w:rPr>
        <w:t>Glycemic plan to be reconciled by the primary care physician and endocrinology at the post-discharge visit; outpatient regimen review supported by recent HbA1c trend.</w:t>
      </w:r>
    </w:p>
    <w:p>
      <w:pPr>
        <w:spacing w:before="120" w:after="200"/>
      </w:pPr>
      <w:r>
        <w:t>The endocrine picture is one of cumulative steroid exposure and longitudinal taper management rather than an index acute diagnosis. The sepsis-oriented treatment is also helping, and the relative contributions of steroid physiology versus acute infection to the recovery curve remain uncertain and are not fully resolvable from the inpatient record alone. The endocrine risk is a longitudinal management problem, not the index diagnosis.</w:t>
      </w:r>
    </w:p>
    <w:p>
      <w:pPr>
        <w:spacing w:before="80" w:after="0"/>
      </w:pPr>
      <w:r>
        <w:rPr>
          <w:rFonts w:ascii="Arial" w:hAnsi="Arial"/>
          <w:b w:val="0"/>
          <w:i/>
          <w:sz w:val="18"/>
        </w:rPr>
        <w:t>Electronically signed,</w:t>
      </w:r>
    </w:p>
    <w:p>
      <w:pPr>
        <w:spacing w:before="0" w:after="0"/>
      </w:pPr>
      <w:r>
        <w:rPr>
          <w:rFonts w:ascii="Arial" w:hAnsi="Arial"/>
          <w:b/>
          <w:i w:val="0"/>
          <w:sz w:val="19"/>
        </w:rPr>
        <w:t>Nerea Veylorn, MD — Endocrinology</w:t>
      </w:r>
    </w:p>
    <w:p>
      <w:pPr>
        <w:spacing w:before="0" w:after="0"/>
      </w:pPr>
      <w:r>
        <w:rPr>
          <w:rFonts w:ascii="Arial" w:hAnsi="Arial"/>
          <w:b w:val="0"/>
          <w:i w:val="0"/>
          <w:sz w:val="18"/>
        </w:rPr>
        <w:t>NPI 1851607293</w:t>
      </w:r>
    </w:p>
    <w:p>
      <w:pPr>
        <w:spacing w:before="0" w:after="200"/>
      </w:pPr>
      <w:r>
        <w:rPr>
          <w:rFonts w:ascii="Arial" w:hAnsi="Arial"/>
          <w:b w:val="0"/>
          <w:i w:val="0"/>
          <w:sz w:val="18"/>
        </w:rPr>
        <w:t>Mercy Vale Regional Medical Center</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