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W w:type="auto" w:w="0"/>
        <w:tblLook w:firstColumn="1" w:firstRow="1" w:lastColumn="0" w:lastRow="0" w:noHBand="0" w:noVBand="1" w:val="04A0"/>
      </w:tblPr>
      <w:tblGrid>
        <w:gridCol w:w="4968"/>
        <w:gridCol w:w="4968"/>
      </w:tblGrid>
      <w:tr>
        <w:tc>
          <w:tcPr>
            <w:tcW w:type="dxa" w:w="4968"/>
            <w:tcBorders>
              <w:top w:val="single" w:sz="4" w:color="000000"/>
              <w:left w:val="single" w:sz="4" w:color="000000"/>
              <w:bottom w:val="single" w:sz="4" w:color="000000"/>
              <w:right w:val="single" w:sz="4" w:color="000000"/>
            </w:tcBorders>
          </w:tcPr>
          <w:p>
            <w:r>
              <w:rPr>
                <w:rFonts w:ascii="Calibri" w:hAnsi="Calibri"/>
                <w:b/>
                <w:i w:val="0"/>
                <w:sz w:val="24"/>
              </w:rPr>
              <w:t>RIVERBEND RHEUMATOLOGY ASSOCIATES</w:t>
            </w:r>
          </w:p>
          <w:p>
            <w:r>
              <w:rPr>
                <w:rFonts w:ascii="Calibri" w:hAnsi="Calibri"/>
                <w:b w:val="0"/>
                <w:i w:val="0"/>
                <w:sz w:val="18"/>
              </w:rPr>
              <w:t>402 Mill Ridge Road, Suite 105</w:t>
            </w:r>
          </w:p>
          <w:p>
            <w:r>
              <w:rPr>
                <w:rFonts w:ascii="Calibri" w:hAnsi="Calibri"/>
                <w:b w:val="0"/>
                <w:i w:val="0"/>
                <w:sz w:val="18"/>
              </w:rPr>
              <w:t>Bridgehollow, PA 15213</w:t>
            </w:r>
          </w:p>
        </w:tc>
        <w:tc>
          <w:tcPr>
            <w:tcW w:type="dxa" w:w="4968"/>
            <w:tcBorders>
              <w:top w:val="single" w:sz="4" w:color="000000"/>
              <w:left w:val="single" w:sz="4" w:color="000000"/>
              <w:bottom w:val="single" w:sz="4" w:color="000000"/>
              <w:right w:val="single" w:sz="4" w:color="000000"/>
            </w:tcBorders>
          </w:tcPr>
          <w:p>
            <w:pPr>
              <w:jc w:val="right"/>
            </w:pPr>
            <w:r>
              <w:rPr>
                <w:rFonts w:ascii="Calibri" w:hAnsi="Calibri"/>
                <w:b/>
                <w:i w:val="0"/>
                <w:sz w:val="20"/>
              </w:rPr>
              <w:t>Confidential</w:t>
            </w:r>
          </w:p>
          <w:p>
            <w:pPr>
              <w:jc w:val="right"/>
            </w:pPr>
            <w:r>
              <w:rPr>
                <w:rFonts w:ascii="Calibri" w:hAnsi="Calibri"/>
                <w:b w:val="0"/>
                <w:i w:val="0"/>
                <w:sz w:val="18"/>
              </w:rPr>
              <w:t>Phone (412) 555-0520</w:t>
            </w:r>
          </w:p>
          <w:p>
            <w:pPr>
              <w:jc w:val="right"/>
            </w:pPr>
            <w:r>
              <w:rPr>
                <w:rFonts w:ascii="Calibri" w:hAnsi="Calibri"/>
                <w:b w:val="0"/>
                <w:i w:val="0"/>
                <w:sz w:val="18"/>
              </w:rPr>
              <w:t>Fax (412) 555-0521</w:t>
            </w:r>
          </w:p>
        </w:tc>
      </w:tr>
    </w:tbl>
    <w:p/>
    <w:tbl>
      <w:tblPr>
        <w:tblW w:type="auto" w:w="0"/>
        <w:tblLook w:firstColumn="1" w:firstRow="1" w:lastColumn="0" w:lastRow="0" w:noHBand="0" w:noVBand="1" w:val="04A0"/>
      </w:tblPr>
      <w:tblGrid>
        <w:gridCol w:w="2484"/>
        <w:gridCol w:w="2484"/>
        <w:gridCol w:w="2484"/>
        <w:gridCol w:w="2484"/>
      </w:tblGrid>
      <w:tr>
        <w:tc>
          <w:tcPr>
            <w:tcW w:type="dxa" w:w="7452"/>
            <w:gridSpan w:val="3"/>
            <w:tcBorders>
              <w:top w:val="single" w:sz="4" w:color="000000"/>
              <w:left w:val="single" w:sz="4" w:color="000000"/>
              <w:bottom w:val="single" w:sz="4" w:color="000000"/>
              <w:right w:val="single" w:sz="4" w:color="000000"/>
            </w:tcBorders>
            <w:tcBorders>
              <w:top w:val="single" w:sz="4" w:color="000000"/>
              <w:left w:val="single" w:sz="4" w:color="000000"/>
              <w:bottom w:val="single" w:sz="4" w:color="000000"/>
              <w:right w:val="single" w:sz="4" w:color="000000"/>
            </w:tcBorders>
            <w:tcBorders>
              <w:top w:val="single" w:sz="4" w:color="000000"/>
              <w:left w:val="single" w:sz="4" w:color="000000"/>
              <w:bottom w:val="single" w:sz="4" w:color="000000"/>
              <w:right w:val="single" w:sz="4" w:color="000000"/>
            </w:tcBorders>
          </w:tcPr>
          <w:p>
            <w:r>
              <w:rPr>
                <w:rFonts w:ascii="Calibri" w:hAnsi="Calibri"/>
                <w:b/>
                <w:i w:val="0"/>
                <w:sz w:val="22"/>
              </w:rPr>
              <w:t>KORVIN MERROW</w:t>
            </w:r>
            <w:r>
              <w:rPr>
                <w:rFonts w:ascii="Calibri" w:hAnsi="Calibri"/>
                <w:b w:val="0"/>
                <w:i w:val="0"/>
                <w:sz w:val="20"/>
              </w:rPr>
              <w:t xml:space="preserve">    62 y  |  Male  |  DOB 02/18/1964</w:t>
            </w:r>
          </w:p>
        </w:tc>
        <w:tc>
          <w:tcPr>
            <w:tcW w:type="dxa" w:w="2484"/>
            <w:tcBorders>
              <w:top w:val="single" w:sz="4" w:color="000000"/>
              <w:left w:val="single" w:sz="4" w:color="000000"/>
              <w:bottom w:val="single" w:sz="4" w:color="000000"/>
              <w:right w:val="single" w:sz="4" w:color="000000"/>
            </w:tcBorders>
          </w:tcPr>
          <w:p>
            <w:pPr>
              <w:jc w:val="right"/>
            </w:pPr>
            <w:r>
              <w:rPr>
                <w:rFonts w:ascii="Calibri" w:hAnsi="Calibri"/>
                <w:b/>
                <w:i w:val="0"/>
                <w:sz w:val="20"/>
              </w:rPr>
              <w:t>MRN KM-6427819</w:t>
            </w:r>
          </w:p>
        </w:tc>
      </w:tr>
      <w:tr>
        <w:tc>
          <w:tcPr>
            <w:tcW w:type="dxa" w:w="2484"/>
            <w:tcBorders>
              <w:top w:val="single" w:sz="4" w:color="000000"/>
              <w:left w:val="single" w:sz="4" w:color="000000"/>
              <w:bottom w:val="single" w:sz="4" w:color="000000"/>
              <w:right w:val="single" w:sz="4" w:color="000000"/>
            </w:tcBorders>
          </w:tcPr>
          <w:p>
            <w:r>
              <w:rPr>
                <w:rFonts w:ascii="Calibri" w:hAnsi="Calibri"/>
                <w:b/>
                <w:i w:val="0"/>
                <w:sz w:val="18"/>
              </w:rPr>
              <w:t>Date</w:t>
            </w:r>
          </w:p>
          <w:p>
            <w:pPr>
              <w:spacing w:after="0"/>
            </w:pPr>
            <w:r>
              <w:rPr>
                <w:rFonts w:ascii="Calibri" w:hAnsi="Calibri"/>
                <w:b w:val="0"/>
                <w:i w:val="0"/>
                <w:sz w:val="18"/>
              </w:rPr>
              <w:t>2026-05-21</w:t>
            </w:r>
          </w:p>
          <w:p>
            <w:pPr>
              <w:spacing w:after="0"/>
            </w:pPr>
            <w:r>
              <w:rPr>
                <w:rFonts w:ascii="Calibri" w:hAnsi="Calibri"/>
                <w:b w:val="0"/>
                <w:i w:val="0"/>
                <w:sz w:val="18"/>
              </w:rPr>
              <w:t>(pre-admission provenance reviewed</w:t>
            </w:r>
          </w:p>
          <w:p>
            <w:pPr>
              <w:spacing w:after="0"/>
            </w:pPr>
            <w:r>
              <w:rPr>
                <w:rFonts w:ascii="Calibri" w:hAnsi="Calibri"/>
                <w:b w:val="0"/>
                <w:i w:val="0"/>
                <w:sz w:val="18"/>
              </w:rPr>
              <w:t>in hospital; available by HD4)</w:t>
            </w:r>
          </w:p>
        </w:tc>
        <w:tc>
          <w:tcPr>
            <w:tcW w:type="dxa" w:w="2484"/>
            <w:tcBorders>
              <w:top w:val="single" w:sz="4" w:color="000000"/>
              <w:left w:val="single" w:sz="4" w:color="000000"/>
              <w:bottom w:val="single" w:sz="4" w:color="000000"/>
              <w:right w:val="single" w:sz="4" w:color="000000"/>
            </w:tcBorders>
          </w:tcPr>
          <w:p>
            <w:r>
              <w:rPr>
                <w:rFonts w:ascii="Calibri" w:hAnsi="Calibri"/>
                <w:b/>
                <w:i w:val="0"/>
                <w:sz w:val="18"/>
              </w:rPr>
              <w:t>Author</w:t>
            </w:r>
          </w:p>
          <w:p>
            <w:pPr>
              <w:spacing w:after="0"/>
            </w:pPr>
            <w:r>
              <w:rPr>
                <w:rFonts w:ascii="Calibri" w:hAnsi="Calibri"/>
                <w:b w:val="0"/>
                <w:i w:val="0"/>
                <w:sz w:val="18"/>
              </w:rPr>
              <w:t>Soren Halvek, MD</w:t>
            </w:r>
          </w:p>
          <w:p>
            <w:pPr>
              <w:spacing w:after="0"/>
            </w:pPr>
            <w:r>
              <w:rPr>
                <w:rFonts w:ascii="Calibri" w:hAnsi="Calibri"/>
                <w:b w:val="0"/>
                <w:i w:val="0"/>
                <w:sz w:val="18"/>
              </w:rPr>
              <w:t>Outpatient Rheumatologist</w:t>
            </w:r>
          </w:p>
          <w:p>
            <w:pPr>
              <w:spacing w:after="0"/>
            </w:pPr>
            <w:r>
              <w:rPr>
                <w:rFonts w:ascii="Calibri" w:hAnsi="Calibri"/>
                <w:b w:val="0"/>
                <w:i w:val="0"/>
                <w:sz w:val="18"/>
              </w:rPr>
              <w:t>NPI 1073829415</w:t>
            </w:r>
          </w:p>
        </w:tc>
        <w:tc>
          <w:tcPr>
            <w:tcW w:type="dxa" w:w="2484"/>
            <w:tcBorders>
              <w:top w:val="single" w:sz="4" w:color="000000"/>
              <w:left w:val="single" w:sz="4" w:color="000000"/>
              <w:bottom w:val="single" w:sz="4" w:color="000000"/>
              <w:right w:val="single" w:sz="4" w:color="000000"/>
            </w:tcBorders>
          </w:tcPr>
          <w:p>
            <w:r>
              <w:rPr>
                <w:rFonts w:ascii="Calibri" w:hAnsi="Calibri"/>
                <w:b/>
                <w:i w:val="0"/>
                <w:sz w:val="18"/>
              </w:rPr>
              <w:t>Allergies</w:t>
            </w:r>
          </w:p>
          <w:p>
            <w:pPr>
              <w:spacing w:after="0"/>
            </w:pPr>
            <w:r>
              <w:rPr>
                <w:rFonts w:ascii="Calibri" w:hAnsi="Calibri"/>
                <w:b w:val="0"/>
                <w:i w:val="0"/>
                <w:sz w:val="18"/>
              </w:rPr>
              <w:t>Lisinopril (cough)</w:t>
            </w:r>
          </w:p>
        </w:tc>
        <w:tc>
          <w:tcPr>
            <w:tcW w:type="dxa" w:w="2484"/>
            <w:tcBorders>
              <w:top w:val="single" w:sz="4" w:color="000000"/>
              <w:left w:val="single" w:sz="4" w:color="000000"/>
              <w:bottom w:val="single" w:sz="4" w:color="000000"/>
              <w:right w:val="single" w:sz="4" w:color="000000"/>
            </w:tcBorders>
          </w:tcPr>
          <w:p>
            <w:r>
              <w:rPr>
                <w:rFonts w:ascii="Calibri" w:hAnsi="Calibri"/>
                <w:b/>
                <w:i w:val="0"/>
                <w:sz w:val="18"/>
              </w:rPr>
              <w:t>Document</w:t>
            </w:r>
          </w:p>
          <w:p>
            <w:pPr>
              <w:spacing w:after="0"/>
            </w:pPr>
            <w:r>
              <w:rPr>
                <w:rFonts w:ascii="Calibri" w:hAnsi="Calibri"/>
                <w:b w:val="0"/>
                <w:i w:val="0"/>
                <w:sz w:val="18"/>
              </w:rPr>
              <w:t>Outpatient Rheumatology</w:t>
            </w:r>
          </w:p>
          <w:p>
            <w:pPr>
              <w:spacing w:after="0"/>
            </w:pPr>
            <w:r>
              <w:rPr>
                <w:rFonts w:ascii="Calibri" w:hAnsi="Calibri"/>
                <w:b w:val="0"/>
                <w:i w:val="0"/>
                <w:sz w:val="18"/>
              </w:rPr>
              <w:t>Prednisone Provenance Note</w:t>
            </w:r>
          </w:p>
        </w:tc>
      </w:tr>
    </w:tbl>
    <w:p/>
    <w:p>
      <w:pPr>
        <w:spacing w:after="160"/>
        <w:jc w:val="center"/>
      </w:pPr>
      <w:r>
        <w:rPr>
          <w:rFonts w:ascii="Calibri" w:hAnsi="Calibri"/>
          <w:b/>
          <w:i w:val="0"/>
          <w:sz w:val="26"/>
        </w:rPr>
        <w:t>OUTPATIENT RHEUMATOLOGY PREDNISONE PROVENANCE</w:t>
      </w:r>
    </w:p>
    <w:p>
      <w:pPr>
        <w:spacing w:after="40"/>
      </w:pPr>
      <w:r>
        <w:rPr>
          <w:rFonts w:ascii="Calibri" w:hAnsi="Calibri"/>
          <w:b/>
          <w:i w:val="0"/>
          <w:sz w:val="20"/>
        </w:rPr>
        <w:t xml:space="preserve">Source: </w:t>
      </w:r>
      <w:r>
        <w:rPr>
          <w:rFonts w:ascii="Calibri" w:hAnsi="Calibri"/>
          <w:b w:val="0"/>
          <w:i w:val="0"/>
          <w:sz w:val="20"/>
        </w:rPr>
        <w:t>Outpatient rheumatology records, Riverbend Rheumatology Associates.</w:t>
      </w:r>
    </w:p>
    <w:p>
      <w:pPr>
        <w:spacing w:after="40"/>
      </w:pPr>
      <w:r>
        <w:rPr>
          <w:rFonts w:ascii="Calibri" w:hAnsi="Calibri"/>
          <w:b/>
          <w:i w:val="0"/>
          <w:sz w:val="20"/>
        </w:rPr>
        <w:t xml:space="preserve">Author: </w:t>
      </w:r>
      <w:r>
        <w:rPr>
          <w:rFonts w:ascii="Calibri" w:hAnsi="Calibri"/>
          <w:b w:val="0"/>
          <w:i w:val="0"/>
          <w:sz w:val="20"/>
        </w:rPr>
        <w:t>Soren Halvek, MD.</w:t>
      </w:r>
    </w:p>
    <w:p>
      <w:pPr>
        <w:spacing w:after="40"/>
      </w:pPr>
      <w:r>
        <w:rPr>
          <w:rFonts w:ascii="Calibri" w:hAnsi="Calibri"/>
          <w:b/>
          <w:i w:val="0"/>
          <w:sz w:val="20"/>
        </w:rPr>
        <w:t xml:space="preserve">Record type: </w:t>
      </w:r>
      <w:r>
        <w:rPr>
          <w:rFonts w:ascii="Calibri" w:hAnsi="Calibri"/>
          <w:b w:val="0"/>
          <w:i w:val="0"/>
          <w:sz w:val="20"/>
        </w:rPr>
        <w:t>PMR / prednisone provenance summary released to the inpatient team during the current hospitalization at Mercy Vale Regional Medical Center.</w:t>
      </w:r>
    </w:p>
    <w:p>
      <w:pPr>
        <w:spacing w:after="40"/>
      </w:pPr>
      <w:r>
        <w:rPr>
          <w:rFonts w:ascii="Calibri" w:hAnsi="Calibri"/>
          <w:b/>
          <w:i w:val="0"/>
          <w:sz w:val="20"/>
        </w:rPr>
        <w:t xml:space="preserve">Status: </w:t>
      </w:r>
      <w:r>
        <w:rPr>
          <w:rFonts w:ascii="Calibri" w:hAnsi="Calibri"/>
          <w:b w:val="0"/>
          <w:i w:val="0"/>
          <w:sz w:val="20"/>
        </w:rPr>
        <w:t>Signed.</w:t>
      </w:r>
    </w:p>
    <w:p/>
    <w:p>
      <w:pPr>
        <w:spacing w:before="160" w:after="60"/>
      </w:pPr>
      <w:r>
        <w:rPr>
          <w:rFonts w:ascii="Calibri" w:hAnsi="Calibri"/>
          <w:b/>
          <w:i w:val="0"/>
          <w:sz w:val="22"/>
        </w:rPr>
        <w:t>PMR BACKGROUND</w:t>
      </w:r>
    </w:p>
    <w:p>
      <w:pPr>
        <w:spacing w:after="120"/>
      </w:pPr>
      <w:r>
        <w:rPr>
          <w:rFonts w:ascii="Calibri" w:hAnsi="Calibri"/>
          <w:b w:val="0"/>
          <w:i w:val="0"/>
          <w:sz w:val="21"/>
        </w:rPr>
        <w:t>Mr. Merrow carries a several-year history of polymyalgia rheumatica managed in this practice with chronic prednisone exposure. The longitudinal course includes multiple symptom flares and prior taper attempts, with each taper conditioned on whether shoulder- and hip-girdle stiffness, morning gel, and inflammatory markers remained controlled. Bone-health therapy — weekly alendronate together with calcium and vitamin D supplementation — has been maintained throughout, consistent with the cumulative steroid risk profile this practice has documented over time.</w:t>
      </w:r>
    </w:p>
    <w:p>
      <w:pPr>
        <w:spacing w:before="160" w:after="60"/>
      </w:pPr>
      <w:r>
        <w:rPr>
          <w:rFonts w:ascii="Calibri" w:hAnsi="Calibri"/>
          <w:b/>
          <w:i w:val="0"/>
          <w:sz w:val="22"/>
        </w:rPr>
        <w:t>MOST RECENT RHEUMATOLOGY TAPER INTENT</w:t>
      </w:r>
    </w:p>
    <w:p>
      <w:pPr>
        <w:spacing w:after="120"/>
      </w:pPr>
      <w:r>
        <w:t>At Mr. Merrow's most recent outpatient rheumatology visit, PMR symptoms were assessed as controlled. On that basis the documented intent was a cautious slow taper, with reassessment based on recurrent symptoms rather than a calendar-only schedule. The plan was framed as gradual reduction with active monitoring, not as cessation. I have not specified a dose in this note; the dispensing pharmacy fill history and any active outpatient e-prescription are the operative records for what was most recently written, and the verified medication reconciliation, the dispensing pharmacy's fill history, and any active outpatient e-prescription remain the operative records for what was most recently written, and those sources should be reconciled directly rather than restated here.</w:t>
      </w:r>
    </w:p>
    <w:p>
      <w:pPr>
        <w:spacing w:after="120"/>
      </w:pPr>
      <w:r>
        <w:rPr>
          <w:rFonts w:ascii="Calibri" w:hAnsi="Calibri"/>
          <w:b w:val="0"/>
          <w:i w:val="0"/>
          <w:sz w:val="21"/>
        </w:rPr>
        <w:t>The standing plan as documented in this practice's chart reads:</w:t>
      </w:r>
    </w:p>
    <w:p>
      <w:pPr>
        <w:spacing w:after="160"/>
        <w:ind w:left="576" w:right="576"/>
      </w:pPr>
      <w:r>
        <w:rPr>
          <w:rFonts w:ascii="Calibri" w:hAnsi="Calibri"/>
          <w:b w:val="0"/>
          <w:i/>
          <w:sz w:val="21"/>
        </w:rPr>
        <w:t>Continue slow taper if symptoms remain controlled; avoid abrupt discontinuation; contact rheumatology or primary care if PMR symptoms flare or systemic symptoms emerge; medication list should be reconciled because prior taper instructions may remain visible in older records.</w:t>
      </w:r>
    </w:p>
    <w:p>
      <w:pPr>
        <w:spacing w:before="160" w:after="60"/>
      </w:pPr>
      <w:r>
        <w:t>NOTES ON THIS DOCUMENT</w:t>
      </w:r>
    </w:p>
    <w:p>
      <w:pPr>
        <w:spacing w:after="120"/>
      </w:pPr>
      <w:r>
        <w:t>This record documents the intended PMR management plan as understood by this practice. It should be read alongside — not in place of — the verified inpatient medication reconciliation, the dispensing pharmacy refill history, family report, and patient recollection. The inpatient team is responsible for weighing these sources for clinical decision-making.</w:t>
      </w:r>
    </w:p>
    <w:p>
      <w:pPr>
        <w:spacing w:before="160" w:after="60"/>
      </w:pPr>
      <w:r>
        <w:rPr>
          <w:rFonts w:ascii="Calibri" w:hAnsi="Calibri"/>
          <w:b/>
          <w:i w:val="0"/>
          <w:sz w:val="22"/>
        </w:rPr>
        <w:t>RELATIONSHIP TO ADMISSION AND RECONCILIATION</w:t>
      </w:r>
    </w:p>
    <w:p>
      <w:pPr>
        <w:spacing w:after="120"/>
      </w:pPr>
      <w:r>
        <w:rPr>
          <w:rFonts w:ascii="Calibri" w:hAnsi="Calibri"/>
          <w:b w:val="0"/>
          <w:i w:val="0"/>
          <w:sz w:val="21"/>
        </w:rPr>
        <w:t xml:space="preserve">If the inpatient team identifies inconsistent prednisone reports across patient recollection, family report, bottle labels, and pharmacy fill history, this provenance note is intended to anchor </w:t>
      </w:r>
      <w:r>
        <w:rPr>
          <w:rFonts w:ascii="Calibri" w:hAnsi="Calibri"/>
          <w:b w:val="0"/>
          <w:i/>
          <w:sz w:val="21"/>
        </w:rPr>
        <w:t>intended</w:t>
      </w:r>
      <w:r>
        <w:rPr>
          <w:rFonts w:ascii="Calibri" w:hAnsi="Calibri"/>
          <w:b w:val="0"/>
          <w:i w:val="0"/>
          <w:sz w:val="21"/>
        </w:rPr>
        <w:t xml:space="preserve"> taper history. It should be read together with — not in place of — the verified inpatient medication reconciliation, the dispensing pharmacy refill history, family report, patient recollection, and the patient's evolving inpatient clinical status. Older taper instructions that remain visible in prior records should be flagged for reconciliation rather than carried forward unexamined.</w:t>
      </w:r>
    </w:p>
    <w:p>
      <w:pPr>
        <w:spacing w:after="120"/>
      </w:pPr>
      <w:r>
        <w:t>This document should be read in conjunction with the verified medication reconciliation, pharmacy refill history, family report, and the patient's evolving inpatient clinical status — it does not replace the inpatient team's own clinical synthesis. Coordination with Endocrinology and primary care around any further taper decisions is encouraged once the acute illness has resolved.</w:t>
      </w:r>
    </w:p>
    <w:p>
      <w:pPr>
        <w:spacing w:after="120"/>
      </w:pPr>
      <w:r>
        <w:rPr>
          <w:rFonts w:ascii="Calibri" w:hAnsi="Calibri"/>
          <w:b w:val="0"/>
          <w:i w:val="0"/>
          <w:sz w:val="21"/>
        </w:rPr>
        <w:t>For taper clarification or symptom recurrence after discharge, the practice can be reached at (412) 555-0520.</w:t>
      </w:r>
    </w:p>
    <w:p/>
    <w:p>
      <w:pPr>
        <w:spacing w:before="120" w:after="80"/>
      </w:pPr>
      <w:r>
        <w:rPr>
          <w:rFonts w:ascii="Calibri" w:hAnsi="Calibri"/>
          <w:b w:val="0"/>
          <w:i/>
          <w:sz w:val="20"/>
        </w:rPr>
        <w:t>Electronically signed: Soren Halvek, MD — Outpatient Rheumatologist, Riverbend Rheumatology Associates, NPI 1073829415 — 2026-05-21.</w:t>
      </w:r>
    </w:p>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