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</w:p>
    <w:p>
      <w:pPr>
        <w:spacing w:after="40" w:before="0"/>
        <w:jc w:val="center"/>
      </w:pPr>
      <w:r>
        <w:rPr>
          <w:rFonts w:ascii="Arial" w:hAnsi="Arial"/>
          <w:b/>
          <w:i w:val="0"/>
          <w:sz w:val="28"/>
        </w:rPr>
        <w:t>MERCY VALE PRIMARY CARE — HARBOR CREST CLINIC</w:t>
      </w:r>
    </w:p>
    <w:p>
      <w:pPr>
        <w:spacing w:after="20" w:before="0"/>
        <w:jc w:val="center"/>
      </w:pPr>
      <w:r>
        <w:rPr>
          <w:rFonts w:ascii="Arial" w:hAnsi="Arial"/>
          <w:b w:val="0"/>
          <w:i w:val="0"/>
          <w:sz w:val="19"/>
        </w:rPr>
        <w:t>215 Harbor Crest Way, Suite 220, Bridgehollow, PA 15211</w:t>
      </w:r>
    </w:p>
    <w:p>
      <w:pPr>
        <w:spacing w:after="120" w:before="0"/>
        <w:jc w:val="center"/>
      </w:pPr>
      <w:r>
        <w:rPr>
          <w:rFonts w:ascii="Arial" w:hAnsi="Arial"/>
          <w:b w:val="0"/>
          <w:i w:val="0"/>
          <w:sz w:val="19"/>
        </w:rPr>
        <w:t>Phone (412) 555-0410  |  Fax (412) 555-0411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tcBorders>
              <w:top w:val="single" w:sz="6" w:color="000000"/>
              <w:left w:val="nil"/>
              <w:bottom w:val="nil"/>
              <w:right w:val="nil"/>
            </w:tcBorders>
          </w:tcPr>
          <w:p>
            <w:r>
              <w:rPr>
                <w:sz w:val="2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368"/>
            <w:shd w:val="clear" w:color="auto" w:fill="F0F0F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Patient</w:t>
            </w:r>
          </w:p>
        </w:tc>
        <w:tc>
          <w:tcPr>
            <w:tcW w:type="dxa" w:w="3744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Korvin Merrow</w:t>
            </w:r>
          </w:p>
        </w:tc>
        <w:tc>
          <w:tcPr>
            <w:tcW w:type="dxa" w:w="1224"/>
            <w:shd w:val="clear" w:color="auto" w:fill="F0F0F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DOB</w:t>
            </w:r>
          </w:p>
        </w:tc>
        <w:tc>
          <w:tcPr>
            <w:tcW w:type="dxa" w:w="3744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02/18/1964</w:t>
            </w:r>
          </w:p>
        </w:tc>
      </w:tr>
      <w:tr>
        <w:tc>
          <w:tcPr>
            <w:tcW w:type="dxa" w:w="1368"/>
            <w:shd w:val="clear" w:color="auto" w:fill="F0F0F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MRN</w:t>
            </w:r>
          </w:p>
        </w:tc>
        <w:tc>
          <w:tcPr>
            <w:tcW w:type="dxa" w:w="3744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KM-6427819</w:t>
            </w:r>
          </w:p>
        </w:tc>
        <w:tc>
          <w:tcPr>
            <w:tcW w:type="dxa" w:w="1224"/>
            <w:shd w:val="clear" w:color="auto" w:fill="F0F0F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Sex</w:t>
            </w:r>
          </w:p>
        </w:tc>
        <w:tc>
          <w:tcPr>
            <w:tcW w:type="dxa" w:w="3744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Male</w:t>
            </w:r>
          </w:p>
        </w:tc>
      </w:tr>
      <w:tr>
        <w:tc>
          <w:tcPr>
            <w:tcW w:type="dxa" w:w="1368"/>
            <w:shd w:val="clear" w:color="auto" w:fill="F0F0F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Allergy</w:t>
            </w:r>
          </w:p>
        </w:tc>
        <w:tc>
          <w:tcPr>
            <w:tcW w:type="dxa" w:w="3744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Lisinopril (cough)</w:t>
            </w:r>
          </w:p>
        </w:tc>
        <w:tc>
          <w:tcPr>
            <w:tcW w:type="dxa" w:w="1224"/>
            <w:shd w:val="clear" w:color="auto" w:fill="F0F0F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Anchor</w:t>
            </w:r>
          </w:p>
        </w:tc>
        <w:tc>
          <w:tcPr>
            <w:tcW w:type="dxa" w:w="3744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2026-05-31 (+7 from planned discharge)</w:t>
            </w:r>
          </w:p>
        </w:tc>
      </w:tr>
      <w:tr>
        <w:tc>
          <w:tcPr>
            <w:tcW w:type="dxa" w:w="1368"/>
            <w:shd w:val="clear" w:color="auto" w:fill="F0F0F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From</w:t>
            </w:r>
          </w:p>
        </w:tc>
        <w:tc>
          <w:tcPr>
            <w:tcW w:type="dxa" w:w="3744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Talia Quenor, MD — Primary Care</w:t>
            </w:r>
          </w:p>
        </w:tc>
        <w:tc>
          <w:tcPr>
            <w:tcW w:type="dxa" w:w="1224"/>
            <w:shd w:val="clear" w:color="auto" w:fill="F0F0F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To</w:t>
            </w:r>
          </w:p>
        </w:tc>
        <w:tc>
          <w:tcPr>
            <w:tcW w:type="dxa" w:w="3744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Covering outpatient clinician / transition reviewer</w:t>
            </w:r>
          </w:p>
        </w:tc>
      </w:tr>
      <w:tr>
        <w:tc>
          <w:tcPr>
            <w:tcW w:type="dxa" w:w="1368"/>
            <w:shd w:val="clear" w:color="auto" w:fill="F0F0F0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Re</w:t>
            </w:r>
          </w:p>
        </w:tc>
        <w:tc>
          <w:tcPr>
            <w:tcW w:type="dxa" w:w="8712"/>
            <w:gridSpan w:val="3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Early post-discharge follow-up assessment request — Mr. Korvin Merrow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Arial" w:hAnsi="Arial"/>
          <w:b/>
          <w:sz w:val="20"/>
        </w:rPr>
        <w:t>REQUEST</w:t>
      </w:r>
    </w:p>
    <w:p>
      <w:pPr>
        <w:spacing w:after="120" w:before="0"/>
      </w:pPr>
      <w:r>
        <w:t>Please complete an early post-discharge follow-up assessment note for Mr. Korvin Merrow at the 05/31/2026 (+7) anchor following the recent Mercy Vale Regional hospitalization (admission 05/18/2026). I am asking for an outpatient follow-up assessment note in the usual interval-status / medications / plan format, oriented to the transition risks visible in the hospitalization record.</w:t>
      </w:r>
    </w:p>
    <w:p>
      <w:pPr>
        <w:spacing w:before="200" w:after="80"/>
      </w:pPr>
      <w:r>
        <w:t>SCOPE</w:t>
      </w:r>
    </w:p>
    <w:p>
      <w:pPr>
        <w:spacing w:after="120" w:before="0"/>
      </w:pPr>
      <w:r>
        <w:t>This clinic has received the inpatient chart through the 05/23/2026 documentation endpoint. Please complete the follow-up assessment based on the available record.</w:t>
      </w:r>
    </w:p>
    <w:p>
      <w:pPr>
        <w:spacing w:before="200" w:after="80"/>
      </w:pPr>
      <w:r>
        <w:rPr>
          <w:rFonts w:ascii="Arial" w:hAnsi="Arial"/>
          <w:b/>
          <w:sz w:val="20"/>
        </w:rPr>
        <w:t>AREAS TO ADDRESS IN YOUR NOTE</w:t>
      </w:r>
    </w:p>
    <w:p>
      <w:pPr>
        <w:spacing w:after="80" w:before="0"/>
      </w:pPr>
      <w:r>
        <w:rPr>
          <w:rFonts w:ascii="Arial" w:hAnsi="Arial"/>
          <w:b w:val="0"/>
          <w:i w:val="0"/>
          <w:sz w:val="19"/>
        </w:rPr>
        <w:t>Please structure the assessment around the following, anchored to source documents in the inpatient record:</w:t>
      </w:r>
    </w:p>
    <w:p>
      <w:pPr>
        <w:spacing w:after="60"/>
        <w:ind w:left="360"/>
      </w:pPr>
      <w:r>
        <w:t>1. Recovery trajectory expectations — what the hospitalization evidence would predict at +7, framed as expectations rather than observed outcomes.</w:t>
      </w:r>
    </w:p>
    <w:p>
      <w:pPr>
        <w:spacing w:after="60"/>
        <w:ind w:left="360"/>
      </w:pPr>
      <w:r>
        <w:rPr>
          <w:rFonts w:ascii="Arial" w:hAnsi="Arial"/>
          <w:b w:val="0"/>
          <w:sz w:val="19"/>
        </w:rPr>
        <w:t xml:space="preserve">2. </w:t>
      </w:r>
      <w:r>
        <w:rPr>
          <w:rFonts w:ascii="Arial" w:hAnsi="Arial"/>
          <w:i/>
          <w:sz w:val="19"/>
        </w:rPr>
        <w:t>Medication tolerance review</w:t>
      </w:r>
      <w:r>
        <w:rPr>
          <w:rFonts w:ascii="Arial" w:hAnsi="Arial"/>
          <w:sz w:val="19"/>
        </w:rPr>
        <w:t xml:space="preserve"> — held versus restarted cardiorenal agents (sacubitril/valsartan, spironolactone, furosemide, empagliflozin, metformin ER, carvedilol); identify tolerance signals that should be checked.</w:t>
      </w:r>
    </w:p>
    <w:p>
      <w:pPr>
        <w:spacing w:after="60"/>
        <w:ind w:left="360"/>
      </w:pPr>
      <w:r>
        <w:t>3. Renal and cardiac monitoring priorities — identify what monitoring priorities should have been established at discharge and assess what parameters warrant review at this visit.</w:t>
      </w:r>
    </w:p>
    <w:p>
      <w:pPr>
        <w:spacing w:after="60"/>
        <w:ind w:left="360"/>
      </w:pPr>
      <w:r>
        <w:t>4. Steroid instruction clarity — review steroid instruction for clarity using available outpatient specialist records and inpatient documentation; preserve documented uncertainty rather than asserting a dose or taper step not supported by a verifiable source.</w:t>
      </w:r>
    </w:p>
    <w:p>
      <w:pPr>
        <w:spacing w:after="60"/>
        <w:ind w:left="360"/>
      </w:pPr>
      <w:r>
        <w:t>5. Function and cognition — based on the hospitalization record, describe the trajectory of functional and cognitive recovery and identify areas that remain at risk at the +7 anchor.</w:t>
      </w:r>
    </w:p>
    <w:p>
      <w:pPr>
        <w:spacing w:after="60"/>
        <w:ind w:left="360"/>
      </w:pPr>
      <w:r>
        <w:t>6. Family support adequacy — family role and supervision needs as documented at discharge.</w:t>
      </w:r>
    </w:p>
    <w:p>
      <w:pPr>
        <w:spacing w:after="60"/>
        <w:ind w:left="360"/>
      </w:pPr>
      <w:r>
        <w:rPr>
          <w:rFonts w:ascii="Arial" w:hAnsi="Arial"/>
          <w:b w:val="0"/>
          <w:sz w:val="19"/>
        </w:rPr>
        <w:t xml:space="preserve">7. </w:t>
      </w:r>
      <w:r>
        <w:rPr>
          <w:rFonts w:ascii="Arial" w:hAnsi="Arial"/>
          <w:i/>
          <w:sz w:val="19"/>
        </w:rPr>
        <w:t>Escalation and warning signs</w:t>
      </w:r>
      <w:r>
        <w:rPr>
          <w:rFonts w:ascii="Arial" w:hAnsi="Arial"/>
          <w:sz w:val="19"/>
        </w:rPr>
        <w:t xml:space="preserve"> — what should trigger early contact with this clinic, Cardiology, Nephrology, or Rheumatology.</w:t>
      </w:r>
    </w:p>
    <w:p>
      <w:pPr>
        <w:spacing w:after="200" w:before="120"/>
      </w:pPr>
      <w:r>
        <w:rPr>
          <w:rFonts w:ascii="Arial" w:hAnsi="Arial"/>
          <w:b w:val="0"/>
          <w:i w:val="0"/>
          <w:sz w:val="19"/>
        </w:rPr>
        <w:t>Please flag any items where the inpatient record is silent rather than closing them. Fax the completed note to (412) 555-0411.</w:t>
      </w:r>
    </w:p>
    <w:p>
      <w:pPr>
        <w:spacing w:after="360" w:before="0"/>
      </w:pPr>
      <w:r>
        <w:rPr>
          <w:rFonts w:ascii="Arial" w:hAnsi="Arial"/>
          <w:b w:val="0"/>
          <w:i w:val="0"/>
          <w:sz w:val="19"/>
        </w:rPr>
        <w:t>Thank you,</w:t>
      </w:r>
    </w:p>
    <w:p>
      <w:pPr>
        <w:spacing w:after="0"/>
      </w:pPr>
      <w:r>
        <w:rPr>
          <w:rFonts w:ascii="Arial" w:hAnsi="Arial"/>
          <w:b/>
          <w:i/>
          <w:sz w:val="20"/>
        </w:rPr>
        <w:t>Talia Quenor, MD</w:t>
      </w:r>
    </w:p>
    <w:p>
      <w:pPr>
        <w:spacing w:after="0" w:before="0"/>
      </w:pPr>
      <w:r>
        <w:rPr>
          <w:rFonts w:ascii="Arial" w:hAnsi="Arial"/>
          <w:b w:val="0"/>
          <w:i w:val="0"/>
          <w:sz w:val="19"/>
        </w:rPr>
        <w:t>Primary Care — Mercy Vale Primary Care, Harbor Crest Clinic</w:t>
      </w:r>
    </w:p>
    <w:p>
      <w:pPr>
        <w:spacing w:after="200" w:before="0"/>
      </w:pPr>
      <w:r>
        <w:rPr>
          <w:rFonts w:ascii="Arial" w:hAnsi="Arial"/>
          <w:b w:val="0"/>
          <w:i w:val="0"/>
          <w:sz w:val="19"/>
        </w:rPr>
        <w:t>NPI 1962718304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