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Primary Care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05/31/2026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Harbor Crest Clinic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Talia Quenor,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Outpatient Visit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Primary Care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Post-Discharge Transition of Care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POST-DISCHARGE TRANSITION OF CARE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Talia Quenor, MD  |  Department: Primary Care  |  05/31/2026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</w:t>
      </w:r>
    </w:p>
    <w:p>
      <w:r>
        <w:rPr>
          <w:rFonts w:ascii="Arial" w:hAnsi="Arial"/>
          <w:b w:val="0"/>
          <w:i w:val="0"/>
          <w:color w:val="232830"/>
          <w:sz w:val="19"/>
        </w:rPr>
        <w:t>Post-discharge transition-of-care visit after hospitalization 05/18 to 05/24/2026 for suspected urinary-source infection with sepsis physiology and AKI on CKD stage 3, on a background of HFrEF, CAD, type 2 diabetes, PMR on chronic prednisone, OSA on home CPAP, and anemia of CKD. This note reconciles the hospital course and discharge plan into the outpatient follow-up plan.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Interval since discharge</w:t>
      </w:r>
    </w:p>
    <w:p>
      <w:r>
        <w:rPr>
          <w:rFonts w:ascii="Arial" w:hAnsi="Arial"/>
          <w:b w:val="0"/>
          <w:i w:val="0"/>
          <w:color w:val="232830"/>
          <w:sz w:val="19"/>
        </w:rPr>
        <w:t>The patient reports his home blood pressures have been at goal, but no home log or outside records are on file; treat this as unverified patient report rather than documented data, and do not use it to justify restarting held therapy today.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r>
        <w:rPr>
          <w:rFonts w:ascii="Arial" w:hAnsi="Arial"/>
          <w:b w:val="0"/>
          <w:i w:val="0"/>
          <w:color w:val="232830"/>
          <w:sz w:val="19"/>
        </w:rPr>
        <w:t>1. Cardiorenal (HFrEF, CAD, CKD3, resolved AKI). The protective agents remain held. There is no documented data to support a restart at this visit, and the chart defers the staged, parameter-gated restart to outpatient cardiology and nephrology; do not resume sacubitril/valsartan or furosemide today. Continue carvedilol. Obtain a measured in-clinic blood pressure, recheck renal function on today's labs, and coordinate the restart with cardiology within two weeks and nephrology.</w:t>
      </w:r>
    </w:p>
    <w:p>
      <w:r>
        <w:rPr>
          <w:rFonts w:ascii="Arial" w:hAnsi="Arial"/>
          <w:b w:val="0"/>
          <w:i w:val="0"/>
          <w:color w:val="232830"/>
          <w:sz w:val="19"/>
        </w:rPr>
        <w:t>2. Type 2 diabetes. Metformin held pending confirmed renal recovery; continue home glargine; inpatient correctional insulin not continued at home.</w:t>
      </w:r>
    </w:p>
    <w:p>
      <w:r>
        <w:rPr>
          <w:rFonts w:ascii="Arial" w:hAnsi="Arial"/>
          <w:b w:val="0"/>
          <w:i w:val="0"/>
          <w:color w:val="232830"/>
          <w:sz w:val="19"/>
        </w:rPr>
        <w:t>3. Polymyalgia rheumatica. Continue prednisone per outpatient rheumatology; no numeric dose is set here, reconcile dose and taper with rheumatology (Dr. Halvek).</w:t>
      </w:r>
    </w:p>
    <w:p>
      <w:r>
        <w:rPr>
          <w:rFonts w:ascii="Arial" w:hAnsi="Arial"/>
          <w:b w:val="0"/>
          <w:i w:val="0"/>
          <w:color w:val="232830"/>
          <w:sz w:val="19"/>
        </w:rPr>
        <w:t>4. Anemia of CKD. Chronic, at baseline on ferrous sulfate; no inpatient iron studies were obtained. Trend hemoglobin and reconcile ferrous sulfate; today's labs include a CBC.</w:t>
      </w:r>
    </w:p>
    <w:p>
      <w:r>
        <w:rPr>
          <w:rFonts w:ascii="Arial" w:hAnsi="Arial"/>
          <w:b w:val="0"/>
          <w:i w:val="0"/>
          <w:color w:val="232830"/>
          <w:sz w:val="19"/>
        </w:rPr>
        <w:t>5. Functional and safety. Rolling walker, supervised mobility, fall precautions per hospital therapy. Home-health nursing and therapy to confirm; first-week supervision to confirm with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6. OSA. Continue home CPAP.</w:t>
      </w:r>
    </w:p>
    <w:p>
      <w:r>
        <w:rPr>
          <w:rFonts w:ascii="Arial" w:hAnsi="Arial"/>
          <w:b w:val="0"/>
          <w:i w:val="0"/>
          <w:color w:val="232830"/>
          <w:sz w:val="19"/>
        </w:rPr>
        <w:t>7. Health maintenance. Immunization status is not documented in the record and is unconfirmed; review and update influenza and pneumococcal vaccination rather than recording it as current.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(Dr. Caldrane) within two weeks; nephrology (Dr. Solthar) within one to two weeks; rheumatology (Dr. Halvek) for taper; return here in two to four weeks and as needed. Return precautions reviewed.</w:t>
      </w:r>
    </w:p>
    <w:p>
      <w:r>
        <w:rPr>
          <w:rFonts w:ascii="Arial" w:hAnsi="Arial"/>
          <w:b w:val="0"/>
          <w:i w:val="0"/>
          <w:color w:val="232830"/>
          <w:sz w:val="19"/>
        </w:rPr>
        <w:t>Pending at this visit: review today's pending labs when resulted; confirm the first-week supervision arrangement with family.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Talia Quenor, MD  |  Primary Care, Mercy Vale Primary Care, Harbor Crest Clinic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Post-Discharge Transition of Care Note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