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Transition Summary</w:t>
            </w:r>
          </w:p>
        </w:tc>
      </w:tr>
    </w:tbl>
    <w:p/>
    <w:p>
      <w:r>
        <w:rPr>
          <w:rFonts w:ascii="Arial" w:hAnsi="Arial"/>
          <w:b/>
          <w:i w:val="0"/>
          <w:color w:val="1F3864"/>
          <w:sz w:val="28"/>
        </w:rPr>
        <w:t>PRE-DISCHARGE TRANSITION SUMMARY</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Reason for transition</w:t>
      </w:r>
    </w:p>
    <w:p>
      <w:r>
        <w:rPr>
          <w:rFonts w:ascii="Arial" w:hAnsi="Arial"/>
          <w:b w:val="0"/>
          <w:i w:val="0"/>
          <w:color w:val="232830"/>
          <w:sz w:val="19"/>
        </w:rPr>
        <w:t>Korvin Merrow is a 62-year-old man finalized for discharge home on 05/24/2026 after admission for suspected urinary-source infection with sepsis physiology and AKI on CKD stage 3, both improved, on a background of HFrEF and CAD with protective therapy held, type 2 diabetes, polymyalgia rheumatica on chronic prednisone, obstructive sleep apnea on home CPAP, and anemia of CKD. This transition summary consolidates the hospital course and discharge plan for the chart.</w:t>
      </w:r>
    </w:p>
    <w:p>
      <w:pPr>
        <w:spacing w:before="180" w:after="60"/>
        <w:pBdr>
          <w:bottom w:val="single" w:sz="6" w:color="C9D4EA" w:space="2"/>
        </w:pBdr>
      </w:pPr>
      <w:r>
        <w:rPr>
          <w:rFonts w:ascii="Arial" w:hAnsi="Arial"/>
          <w:b/>
          <w:i w:val="0"/>
          <w:color w:val="4472C4"/>
          <w:sz w:val="20"/>
        </w:rPr>
        <w:t>Hospital course and plan by problem</w:t>
      </w:r>
    </w:p>
    <w:p>
      <w:r>
        <w:rPr>
          <w:rFonts w:ascii="Arial" w:hAnsi="Arial"/>
          <w:b w:val="0"/>
          <w:i w:val="0"/>
          <w:color w:val="232830"/>
          <w:sz w:val="19"/>
        </w:rPr>
        <w:t>Infection and sepsis physiology: suspected urinary-source infection, improved on empiric ceftriaxone stepped down to oral cefpodoxime; complete the course and confirm the final stop date on the discharge prescription.</w:t>
      </w:r>
    </w:p>
    <w:p>
      <w:r>
        <w:rPr>
          <w:rFonts w:ascii="Arial" w:hAnsi="Arial"/>
          <w:b w:val="0"/>
          <w:i w:val="0"/>
          <w:color w:val="232830"/>
          <w:sz w:val="19"/>
        </w:rPr>
        <w:t>Acute kidney injury on CKD stage 3: prerenal AKI resolved to the outpatient baseline by laboratory criteria (creatinine 1.80, potassium 4.4). Furosemide held; continue volume and renal-function monitoring with an outpatient recheck.</w:t>
      </w:r>
    </w:p>
    <w:p>
      <w:r>
        <w:rPr>
          <w:rFonts w:ascii="Arial" w:hAnsi="Arial"/>
          <w:b w:val="0"/>
          <w:i w:val="0"/>
          <w:color w:val="232830"/>
          <w:sz w:val="19"/>
        </w:rPr>
        <w:t>HFrEF and CAD: no echocardiogram or ejection-fraction measurement is on file this admission, and HFrEF is a chronic diagnosis with no documented recovery of systolic function. The held protective agents (sacubitril/valsartan, spironolactone, empagliflozin, furosemide) remain held with a staged, parameter-gated restart deferred to outpatient cardiology and nephrology, not discontinued; cardiology documents that decompensation and readmission risk rise if the holds drift into permanent omission. Continue carvedilol cautiously. Do not assert a recovered ejection fraction or de-escalate guideline-directed therapy.</w:t>
      </w:r>
    </w:p>
    <w:p>
      <w:r>
        <w:rPr>
          <w:rFonts w:ascii="Arial" w:hAnsi="Arial"/>
          <w:b w:val="0"/>
          <w:i w:val="0"/>
          <w:color w:val="232830"/>
          <w:sz w:val="19"/>
        </w:rPr>
        <w:t>Glycemic management: metformin held during renal recovery; basal insulin glargine continued; inpatient correctional insulin is not carried home. Reconcile the outpatient regimen with primary care and endocrinology (Dr. Veylorn).</w:t>
      </w:r>
    </w:p>
    <w:p>
      <w:r>
        <w:rPr>
          <w:rFonts w:ascii="Arial" w:hAnsi="Arial"/>
          <w:b w:val="0"/>
          <w:i w:val="0"/>
          <w:color w:val="232830"/>
          <w:sz w:val="19"/>
        </w:rPr>
        <w:t>Polymyalgia rheumatica: continue prednisone without asserting a numeric dose, which the inpatient record does not establish; reconcile the dose and taper with rheumatology (Dr. Halvek) at follow-up.</w:t>
      </w:r>
    </w:p>
    <w:p>
      <w:r>
        <w:rPr>
          <w:rFonts w:ascii="Arial" w:hAnsi="Arial"/>
          <w:b w:val="0"/>
          <w:i w:val="0"/>
          <w:color w:val="232830"/>
          <w:sz w:val="19"/>
        </w:rPr>
        <w:t>Anemia of chronic kidney disease: chronic at the documented baseline range on home ferrous sulfate; no inpatient iron studies were obtained. Trend hemoglobin and reconcile ferrous sulfate at outpatient follow-up.</w:t>
      </w:r>
    </w:p>
    <w:p>
      <w:r>
        <w:rPr>
          <w:rFonts w:ascii="Arial" w:hAnsi="Arial"/>
          <w:b w:val="0"/>
          <w:i w:val="0"/>
          <w:color w:val="232830"/>
          <w:sz w:val="19"/>
        </w:rPr>
        <w:t>Functional status and safety: below prior indoor baseline, improving; fall risk high (Morse Fall Scale 65). Rolling walker and supervised mobility for the first five to seven days, bedside commode, grab bars, and removal of loose rugs, with home or outpatient physical-therapy reassessment per the PT plan (Renna Volkos, DPT).</w:t>
      </w:r>
    </w:p>
    <w:p>
      <w:r>
        <w:rPr>
          <w:rFonts w:ascii="Arial" w:hAnsi="Arial"/>
          <w:b w:val="0"/>
          <w:i w:val="0"/>
          <w:color w:val="232830"/>
          <w:sz w:val="19"/>
        </w:rPr>
        <w:t>Obstructive sleep apnea: continue home CPAP.</w:t>
      </w:r>
    </w:p>
    <w:p>
      <w:r>
        <w:rPr>
          <w:rFonts w:ascii="Arial" w:hAnsi="Arial"/>
          <w:b w:val="0"/>
          <w:i w:val="0"/>
          <w:color w:val="232830"/>
          <w:sz w:val="19"/>
        </w:rPr>
        <w:t>Discharge logistics and follow-up: planned discharge 05/24/2026. Home services in coordination through Case Management (Priya Ostroff, RN, BSN, CCM); follow-up with cardiology (Dr. Caldrane) within two weeks, nephrology (Dr. Solthar), primary care, and rheumatology. Confirm the antibiotic stop date and home-services arrangements before filing.</w:t>
      </w:r>
    </w:p>
    <w:p>
      <w:r>
        <w:rPr>
          <w:rFonts w:ascii="Arial" w:hAnsi="Arial"/>
          <w:b w:val="0"/>
          <w:i w:val="0"/>
          <w:color w:val="232830"/>
          <w:sz w:val="19"/>
        </w:rPr>
        <w:t>Pending at filing: antibiotic stop date and home-services arrangements to be confirmed.</w:t>
      </w:r>
    </w:p>
    <w:p>
      <w:pPr>
        <w:spacing w:before="200"/>
        <w:pBdr>
          <w:top w:val="single" w:sz="4" w:color="C9D4EA" w:space="4"/>
        </w:pBdr>
      </w:pPr>
      <w:r>
        <w:rPr>
          <w:rFonts w:ascii="Arial" w:hAnsi="Arial"/>
          <w:b w:val="0"/>
          <w:i/>
          <w:color w:val="5E6670"/>
          <w:sz w:val="18"/>
        </w:rPr>
        <w:t>Electronically signed by Elian Vossmere, MD  |  Hospital Medicine, Mercy Vale Regional Medical Center</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Transition Summary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