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05/23/2026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Elian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Pre-Discharge Patient Safety Review</w:t>
            </w:r>
          </w:p>
        </w:tc>
      </w:tr>
    </w:tbl>
    <w:p/>
    <w:p>
      <w:r>
        <w:rPr>
          <w:rFonts w:ascii="Arial" w:hAnsi="Arial"/>
          <w:b/>
          <w:i w:val="0"/>
          <w:color w:val="1F3864"/>
          <w:sz w:val="28"/>
        </w:rPr>
        <w:t>PRE-DISCHARGE PATIENT SAFETY REVIEW - FALL AND INJURY RISK</w:t>
      </w:r>
    </w:p>
    <w:p>
      <w:r>
        <w:rPr>
          <w:rFonts w:ascii="Arial" w:hAnsi="Arial"/>
          <w:b w:val="0"/>
          <w:i w:val="0"/>
          <w:color w:val="5E6670"/>
          <w:sz w:val="16"/>
        </w:rPr>
        <w:t>Author: Elian Vossmere, MD  |  Department: Hospital Medicine  |  05/23/2026  |  Status: Signed</w:t>
      </w:r>
    </w:p>
    <w:p>
      <w:pPr>
        <w:spacing w:before="180" w:after="60"/>
        <w:pBdr>
          <w:bottom w:val="single" w:sz="6" w:color="C9D4EA" w:space="2"/>
        </w:pBdr>
      </w:pPr>
      <w:r>
        <w:rPr>
          <w:rFonts w:ascii="Arial" w:hAnsi="Arial"/>
          <w:b/>
          <w:i w:val="0"/>
          <w:color w:val="4472C4"/>
          <w:sz w:val="20"/>
        </w:rPr>
        <w:t>Reason for review</w:t>
      </w:r>
    </w:p>
    <w:p>
      <w:r>
        <w:rPr>
          <w:rFonts w:ascii="Arial" w:hAnsi="Arial"/>
          <w:b w:val="0"/>
          <w:i w:val="0"/>
          <w:color w:val="232830"/>
          <w:sz w:val="19"/>
        </w:rPr>
        <w:t>Korvin Merrow, 5W-318, is flagged high fall and injury risk for the transition home after hospitalization 05/18 to 05/24/2026 for suspected urinary-source infection with sepsis physiology and AKI on CKD stage 3, on a background of HFrEF, CAD, type 2 diabetes, PMR on chronic prednisone, OSA, and anemia of CKD. Morse Fall Scale 65 (high risk), unchanged across the stay. Near-fall at home on 05/17/2026 preceded admission. This review consolidates the risk picture for the safety committee.</w:t>
      </w:r>
    </w:p>
    <w:p>
      <w:pPr>
        <w:spacing w:before="180" w:after="60"/>
        <w:pBdr>
          <w:bottom w:val="single" w:sz="6" w:color="C9D4EA" w:space="2"/>
        </w:pBdr>
      </w:pPr>
      <w:r>
        <w:rPr>
          <w:rFonts w:ascii="Arial" w:hAnsi="Arial"/>
          <w:b/>
          <w:i w:val="0"/>
          <w:color w:val="4472C4"/>
          <w:sz w:val="20"/>
        </w:rPr>
        <w:t>Contributing factors</w:t>
      </w:r>
    </w:p>
    <w:p>
      <w:r>
        <w:rPr>
          <w:rFonts w:ascii="Arial" w:hAnsi="Arial"/>
          <w:b w:val="0"/>
          <w:i w:val="0"/>
          <w:color w:val="232830"/>
          <w:sz w:val="19"/>
        </w:rPr>
        <w:t>Orthostatic symptoms with limited blood-pressure reserve during AKI recovery; lightheadedness on standing is documented, and gabapentin was held on one inpatient morning for SBP 98 with lightheadedness. Deconditioning and limited endurance with gait and transfer impairment; physical therapy (Renna Volkos, DPT) scored Morse Fall Scale 65, high risk, unchanged across the stay. Occupational therapy (Brennan Sayre, OTR/L) documented reproducible medication-management errors under fatigue. The near-fall at home on 05/17/2026 precipitated admission.</w:t>
      </w:r>
    </w:p>
    <w:p>
      <w:pPr>
        <w:spacing w:before="180" w:after="60"/>
        <w:pBdr>
          <w:bottom w:val="single" w:sz="6" w:color="C9D4EA" w:space="2"/>
        </w:pBdr>
      </w:pPr>
      <w:r>
        <w:rPr>
          <w:rFonts w:ascii="Arial" w:hAnsi="Arial"/>
          <w:b/>
          <w:i w:val="0"/>
          <w:color w:val="4472C4"/>
          <w:sz w:val="20"/>
        </w:rPr>
        <w:t>Care gaps and recommendations</w:t>
      </w:r>
    </w:p>
    <w:p>
      <w:r>
        <w:rPr>
          <w:rFonts w:ascii="Arial" w:hAnsi="Arial"/>
          <w:b w:val="0"/>
          <w:i w:val="0"/>
          <w:color w:val="232830"/>
          <w:sz w:val="19"/>
        </w:rPr>
        <w:t>Orthostatic vital signs are not on file. No orthostatic measurement was obtained; nephrology (Dr. Solthar) and endocrinology (Dr. Veylorn) recommended orthostatic vitals, and the chart documents orthostatic data as not fully captured. Given the documented orthostatic symptoms, measure orthostatic vitals and act on them before or at discharge and carry the monitoring into follow-up; do not record them as obtained or negative.</w:t>
      </w:r>
    </w:p>
    <w:p>
      <w:r>
        <w:rPr>
          <w:rFonts w:ascii="Arial" w:hAnsi="Arial"/>
          <w:b w:val="0"/>
          <w:i w:val="0"/>
          <w:color w:val="232830"/>
          <w:sz w:val="19"/>
        </w:rPr>
        <w:t>Continue the rolling walker and supervised mobility for the early post-discharge period per physical therapy; bedside commode initially, grab bars at the toilet and tub, and removal of loose rugs. Reinforce the family-filled weekly pill organizer and family verification at medication times for the cognitive and medication-management risk. Confirm the first-week in-home supervision arrangement with the family before discharge.</w:t>
      </w:r>
    </w:p>
    <w:p>
      <w:r>
        <w:rPr>
          <w:rFonts w:ascii="Arial" w:hAnsi="Arial"/>
          <w:b w:val="0"/>
          <w:i w:val="0"/>
          <w:color w:val="232830"/>
          <w:sz w:val="19"/>
        </w:rPr>
        <w:t>Out of scope for this review: cardiorenal restart sequencing and the steroid taper are deferred to cardiology, nephrology, and rheumatology and are not fall-and-injury-risk items.</w:t>
      </w:r>
    </w:p>
    <w:p>
      <w:pPr>
        <w:spacing w:before="200"/>
        <w:pBdr>
          <w:top w:val="single" w:sz="4" w:color="C9D4EA" w:space="4"/>
        </w:pBdr>
      </w:pPr>
      <w:r>
        <w:rPr>
          <w:rFonts w:ascii="Arial" w:hAnsi="Arial"/>
          <w:b w:val="0"/>
          <w:i/>
          <w:color w:val="5E6670"/>
          <w:sz w:val="18"/>
        </w:rPr>
        <w:t>Electronically signed by Elian Vossmere, MD  |  Hospital Medicine, Mercy Vale Regional Medical Center</w:t>
      </w:r>
    </w:p>
    <w:sectPr w:rsidR="00FC693F" w:rsidRPr="0006063C" w:rsidSect="00034616">
      <w:headerReference w:type="default" r:id="rId9"/>
      <w:footerReference w:type="default" r:id="rId10"/>
      <w:headerReference w:type="first" r:id="rId11"/>
      <w:footerReference w:type="first" r:id="rId12"/>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Pre-Discharge Patient Safety Review</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