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54063f13cd73d476e3d2ad8a695c30b7c40815"/>
    <w:p>
      <w:pPr>
        <w:pStyle w:val="Heading1"/>
      </w:pPr>
      <w:r>
        <w:t xml:space="preserve">DISCHARGE MEDICATION RECONCILIATION &amp; MEDICATION-SAFETY REVIEW</w:t>
      </w:r>
    </w:p>
    <w:p>
      <w:pPr>
        <w:pStyle w:val="FirstParagraph"/>
      </w:pPr>
      <w:r>
        <w:rPr>
          <w:bCs/>
          <w:b/>
        </w:rPr>
        <w:t xml:space="preserve">Mercy Vale Regional Medical Center — Hospital Medicine / Inpatient Pharmacy</w:t>
      </w:r>
      <w:r>
        <w:t xml:space="preserve"> </w:t>
      </w:r>
      <w:r>
        <w:t xml:space="preserve">5 Harbor Crest Way, Bridgehollow, PA 15211 · Pharmacy (412) 555-0170 · Hospital Medicine pager (412) 555-0301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Korvin Merrow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MRN /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KM-6427819 / KM-2026-051877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DOB / Age /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02/18/1964 · 62 y ·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/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West Medical / 5W-318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Lisinopril — cough (ACE-inhibitor intolerance)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Admitted / Planned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05/18/2026 (HD1) / 05/24/2026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Attending / Code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 Vossmere, MD · Full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medication reconciliation &amp; medication-safety review (for co-signature by reviewing pharmacist and covering hospitalist)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05/24/2026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of record:</w:t>
      </w:r>
      <w:r>
        <w:t xml:space="preserve"> </w:t>
      </w:r>
      <w:r>
        <w:t xml:space="preserve">Discharge Medication Reconciliation Request (Vossmere/Marlott, 05/24/2026) and Medication-Safety Handoff Addendum (05/24/2026). This note reconciles the verified 19-item home regimen against the inpatient MAR (HD1–HD6), organizes every agent by discharge disposition, resolves the six handoff focus items, and provides a home medication-management safety plan with teach-back guidance for the patient and his primary caregiver.</w:t>
      </w:r>
    </w:p>
    <w:p>
      <w:r>
        <w:pict>
          <v:rect style="width:0;height:1.5pt" o:hralign="center" o:hrstd="t" o:hr="t"/>
        </w:pict>
      </w:r>
    </w:p>
    <w:bookmarkStart w:id="20" w:name="X4958f3233698e4e15df2c4cd5b20b4146562552"/>
    <w:p>
      <w:pPr>
        <w:pStyle w:val="Heading2"/>
      </w:pPr>
      <w:r>
        <w:t xml:space="preserve">CLINICAL CONTEXT RELEVANT TO MEDICATION DECISIONS</w:t>
      </w:r>
    </w:p>
    <w:p>
      <w:pPr>
        <w:pStyle w:val="FirstParagraph"/>
      </w:pPr>
      <w:r>
        <w:t xml:space="preserve">62-year-old man admitted with suspected urinary-source infection / sepsis physiology and AKI-on-CKD (stage 3 baseline), on a background of HFrEF, CAD s/p remote mid-LAD DES (2018, single-agent ASA — DAPT long completed), HTN, hyperlipidemia, T2DM with peripheral neuropathy, OSA, polymyalgia rheumatica on chronic prednisone, anemia of CKD, steroid-related osteopenia, GERD, and constipation tendency. The hospital course shows consistent recovery; the laboratory trajectory that gates every cardiorenal decision below 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HD1 5/18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HD2 5/19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HD3 5/20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HD4 5/21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HD5 5/22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HD6 5/23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Creatinine (mg/dL)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Potassium (mmol/L)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WBC (k/µL)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SBP range (mmHg)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106–124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110–128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112–128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114–130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febrile→improving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afebrile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afebrile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afebrile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afebrile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Baseline anchors:</w:t>
      </w:r>
      <w:r>
        <w:t xml:space="preserve"> </w:t>
      </w:r>
      <w:r>
        <w:t xml:space="preserve">Cr 1.6–1.8 / eGFR 40–50 · Hgb 10.5–11.5 · A1c 7.6–8.2% ·</w:t>
      </w:r>
      <w:r>
        <w:t xml:space="preserve"> </w:t>
      </w:r>
      <w:r>
        <w:rPr>
          <w:bCs/>
          <w:b/>
        </w:rPr>
        <w:t xml:space="preserve">dry weight ≈ 97 kg</w:t>
      </w:r>
      <w:r>
        <w:t xml:space="preserve">. By HD6 the AKI has resolved to the upper edge of baseline (Cr 1.80, K⁺ 4.4) and infection markers have normalized — but Nephrology and Cardiology both emphasize that</w:t>
      </w:r>
      <w:r>
        <w:t xml:space="preserve"> </w:t>
      </w:r>
      <w:r>
        <w:rPr>
          <w:bCs/>
          <w:b/>
        </w:rPr>
        <w:t xml:space="preserve">floor reserve under monitored intake is not home reserve</w:t>
      </w:r>
      <w:r>
        <w:t xml:space="preserve">, and that cardiorenal reintroduction is a</w:t>
      </w:r>
      <w:r>
        <w:t xml:space="preserve"> </w:t>
      </w:r>
      <w:r>
        <w:rPr>
          <w:iCs/>
          <w:i/>
        </w:rPr>
        <w:t xml:space="preserve">staged, parameter-gated</w:t>
      </w:r>
      <w:r>
        <w:t xml:space="preserve"> </w:t>
      </w:r>
      <w:r>
        <w:t xml:space="preserve">process, not a single discharge-day event.</w:t>
      </w:r>
    </w:p>
    <w:p>
      <w:r>
        <w:pict>
          <v:rect style="width:0;height:1.5pt" o:hralign="center" o:hrstd="t" o:hr="t"/>
        </w:pict>
      </w:r>
    </w:p>
    <w:bookmarkEnd w:id="20"/>
    <w:bookmarkStart w:id="25" w:name="a.-core-disposition-summary"/>
    <w:p>
      <w:pPr>
        <w:pStyle w:val="Heading2"/>
      </w:pPr>
      <w:r>
        <w:t xml:space="preserve">A. CORE DISPOSITION SUMMARY</w:t>
      </w:r>
    </w:p>
    <w:bookmarkStart w:id="21" w:name="Xa44efa9b63bb0da042c939cb138eba7528b7545"/>
    <w:p>
      <w:pPr>
        <w:pStyle w:val="Heading3"/>
      </w:pPr>
      <w:r>
        <w:t xml:space="preserve">1. CONTINUED — unchanged home dose, documented outpatient indication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/ route / 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Inpatient 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secondary prevention (single-agent)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Atorvastatin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/ mixed hyperlipidemia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Pantoprazole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GERD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HD1–HD6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Calcium carbonate/Vit 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mg/400 IU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 health w/ chronic steroid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HD2–HD6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Ferrous sulfate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 mg PO every other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of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per QOD 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Nitroglycerin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mg SL PRN chest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Angina rescue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Available; 0 doses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Acetaminophen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mg PO q6h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sparingly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 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g PO daily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mg PO nightly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</w:tr>
    </w:tbl>
    <w:p>
      <w:pPr>
        <w:pStyle w:val="BodyText"/>
      </w:pPr>
      <w:r>
        <w:t xml:space="preserve">Each carries an independent outpatient indication and was tolerated inpatient.</w:t>
      </w:r>
      <w:r>
        <w:t xml:space="preserve"> </w:t>
      </w:r>
      <w:r>
        <w:rPr>
          <w:bCs/>
          <w:b/>
        </w:rPr>
        <w:t xml:space="preserve">Alendronate 70 mg PO weekly (Sunday AM)</w:t>
      </w:r>
      <w:r>
        <w:t xml:space="preserve"> </w:t>
      </w:r>
      <w:r>
        <w:t xml:space="preserve">was appropriately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ordered inpatient (weekly outpatient agent);</w:t>
      </w:r>
      <w:r>
        <w:t xml:space="preserve"> </w:t>
      </w:r>
      <w:r>
        <w:rPr>
          <w:bCs/>
          <w:b/>
        </w:rPr>
        <w:t xml:space="preserve">resume at home on the next scheduled Sunday</w:t>
      </w:r>
      <w:r>
        <w:t xml:space="preserve">, reinforcing correct administration (upright, fasting, full glass of water, remain upright ≥30 min) — relevant given the patient’s fall risk and morning confusion.</w:t>
      </w:r>
    </w:p>
    <w:bookmarkEnd w:id="21"/>
    <w:bookmarkStart w:id="22" w:name="dose-modified-re-titrated"/>
    <w:p>
      <w:pPr>
        <w:pStyle w:val="Heading3"/>
      </w:pPr>
      <w:r>
        <w:t xml:space="preserve">2. DOSE-MODIFIED / RE-TITRATED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Carvedilol 12.5 mg PO BID — CONTINUE at home dose.</w:t>
      </w:r>
      <w:r>
        <w:t xml:space="preserve"> </w:t>
      </w:r>
      <w:r>
        <w:t xml:space="preserve">Held HD1–HD2 (SBP 98–104, lightheaded), half-day HD3, and</w:t>
      </w:r>
      <w:r>
        <w:t xml:space="preserve"> </w:t>
      </w:r>
      <w:r>
        <w:rPr>
          <w:bCs/>
          <w:b/>
        </w:rPr>
        <w:t xml:space="preserve">restarted at full BID HD4–HD6 with tolerance (SBP 112–124, HR 74–88)</w:t>
      </w:r>
      <w:r>
        <w:t xml:space="preserve">. This is the</w:t>
      </w:r>
      <w:r>
        <w:t xml:space="preserve"> </w:t>
      </w:r>
      <w:r>
        <w:rPr>
          <w:bCs/>
          <w:b/>
        </w:rPr>
        <w:t xml:space="preserve">only HFrEF/CAD guideline-directed agent active at discharge</w:t>
      </w:r>
      <w:r>
        <w:t xml:space="preserve">. Cardiology specifically warns that interrupting beta-blockade in established CAD/HFrEF carries rebound and ischemic risk; maintaining it is deliberate. Discharge at 12.5 mg BID; hold a dose for SBP &lt;100 mmHg or symptomatic lightheadedness; titration deferred to Cardiology.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Insulin glargine — CONTINUE 18 units SC nightly (home dose).</w:t>
      </w:r>
      <w:r>
        <w:t xml:space="preserve"> </w:t>
      </w:r>
      <w:r>
        <w:t xml:space="preserve">Down-titrated inpatient to 12 units during poor intake and up-titrated back to the</w:t>
      </w:r>
      <w:r>
        <w:t xml:space="preserve"> </w:t>
      </w:r>
      <w:r>
        <w:rPr>
          <w:bCs/>
          <w:b/>
        </w:rPr>
        <w:t xml:space="preserve">home 18 units by HD6</w:t>
      </w:r>
      <w:r>
        <w:t xml:space="preserve"> </w:t>
      </w:r>
      <w:r>
        <w:t xml:space="preserve">as intake recovered (70–90% of meals). Discharge at 18 units with early home glucose monitoring; expect the dose may need reduction as the acute-illness/steroid glycemic load settles — reconcile at PCP/Endocrinology follow-up.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Gabapentin 300 mg PO nightly — CONTINUE home dose.</w:t>
      </w:r>
      <w:r>
        <w:t xml:space="preserve"> </w:t>
      </w:r>
      <w:r>
        <w:t xml:space="preserve">Held HD1–HD2 and reduced to 100 mg HD3–HD4 for evening confusion / fall risk, then</w:t>
      </w:r>
      <w:r>
        <w:t xml:space="preserve"> </w:t>
      </w:r>
      <w:r>
        <w:rPr>
          <w:bCs/>
          <w:b/>
        </w:rPr>
        <w:t xml:space="preserve">returned to 300 mg HD5–HD6</w:t>
      </w:r>
      <w:r>
        <w:t xml:space="preserve"> </w:t>
      </w:r>
      <w:r>
        <w:t xml:space="preserve">as mentation cleared. Resume 300 mg nightly with a standing caution that this is a sedating, fall-risk-relevant agent in a patient with Morse Fall Scale 65 (see safety plan).</w:t>
      </w:r>
    </w:p>
    <w:bookmarkEnd w:id="22"/>
    <w:bookmarkStart w:id="23" w:name="X5dca6775a76ccdb24603a465e31f58c23e331c7"/>
    <w:p>
      <w:pPr>
        <w:pStyle w:val="Heading3"/>
      </w:pPr>
      <w:r>
        <w:t xml:space="preserve">3. HELD — with explicit restart parameters (the cardiorenal / GDMT group)</w:t>
      </w:r>
    </w:p>
    <w:p>
      <w:pPr>
        <w:pStyle w:val="FirstParagraph"/>
      </w:pPr>
      <w:r>
        <w:t xml:space="preserve">All four agents below were</w:t>
      </w:r>
      <w:r>
        <w:t xml:space="preserve"> </w:t>
      </w:r>
      <w:r>
        <w:rPr>
          <w:bCs/>
          <w:b/>
        </w:rPr>
        <w:t xml:space="preserve">held every hospital day (HD1–HD6) and are NOT restarted at discharge.</w:t>
      </w:r>
      <w:r>
        <w:t xml:space="preserve"> </w:t>
      </w:r>
      <w:r>
        <w:t xml:space="preserve">Cardiology (Dr. Caldrane) and Nephrology (Dr. Solthar) agree on a</w:t>
      </w:r>
      <w:r>
        <w:t xml:space="preserve"> </w:t>
      </w:r>
      <w:r>
        <w:rPr>
          <w:bCs/>
          <w:b/>
        </w:rPr>
        <w:t xml:space="preserve">staged, parameter-gated outpatient restart — not simultaneous reintroduction.</w:t>
      </w:r>
      <w:r>
        <w:t xml:space="preserve"> </w:t>
      </w:r>
      <w:r>
        <w:t xml:space="preserve">Do not write these on the discharge prescription list; document them as</w:t>
      </w:r>
      <w:r>
        <w:t xml:space="preserve"> </w:t>
      </w:r>
      <w:r>
        <w:t xml:space="preserve">“</w:t>
      </w:r>
      <w:r>
        <w:t xml:space="preserve">held, to be restarted by the outpatient team per parameters.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Held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gate /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Sacubitril/valsartan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24/26 mg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RAAS/neprilysin load during AKI + low-normal SBP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 outpatient GDMT restart. Cardiology visit ≤2 wk; requires SBP margin + Cr at/near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Spironolactone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MRA + hyperkalemia risk (K⁺ 5.1 on admit)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only after confirmatory BMP (K⁺ and Cr acceptable), staged after ARNI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Empagliflozin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mg PO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SGLT2i held for acute illness / poor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coordinated by renal + cardiac teams once intake stable and Cr steady at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 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mg PO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for 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once Cr/eGFR confirmed stable at CKD-3 baseline (PCP/Endo). Hold again for any future acute illness / contrast.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Furosemide 40 mg PO daily — HELD; conditional restart.</w:t>
      </w:r>
      <w:r>
        <w:t xml:space="preserve"> </w:t>
      </w:r>
      <w:r>
        <w:t xml:space="preserve">Held HD1–HD3 for prerenal physiology; reviewed and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restarted HD4–HD6 (patient euvolemic, only trace ankle edema, JVP flat).</w:t>
      </w:r>
      <w:r>
        <w:t xml:space="preserve"> </w:t>
      </w:r>
      <w:r>
        <w:rPr>
          <w:bCs/>
          <w:b/>
        </w:rPr>
        <w:t xml:space="preserve">Discharge held</w:t>
      </w:r>
      <w:r>
        <w:t xml:space="preserve">, with a</w:t>
      </w:r>
      <w:r>
        <w:t xml:space="preserve"> </w:t>
      </w:r>
      <w:r>
        <w:rPr>
          <w:bCs/>
          <w:b/>
        </w:rPr>
        <w:t xml:space="preserve">volume/weight trigger</w:t>
      </w:r>
      <w:r>
        <w:t xml:space="preserve">: restart 40 mg daily if home weight rises</w:t>
      </w:r>
      <w:r>
        <w:t xml:space="preserve"> </w:t>
      </w:r>
      <w:r>
        <w:rPr>
          <w:bCs/>
          <w:b/>
        </w:rPr>
        <w:t xml:space="preserve">&gt;2 kg (≈4–5 lb) above the 97 kg dry weight</w:t>
      </w:r>
      <w:r>
        <w:t xml:space="preserve"> </w:t>
      </w:r>
      <w:r>
        <w:t xml:space="preserve">or if edema/orthopnea/dyspnea re-emerge, after contacting the covering clinician. This pairs with the daily-weight instruction in the monitoring plan.</w:t>
      </w:r>
    </w:p>
    <w:p>
      <w:pPr>
        <w:pStyle w:val="BlockText"/>
      </w:pPr>
      <w:r>
        <w:rPr>
          <w:bCs/>
          <w:b/>
        </w:rPr>
        <w:t xml:space="preserve">Recommended first-restart sequence (for the outpatient team, not to be executed on the discharge order):</w:t>
      </w:r>
      <w:r>
        <w:t xml:space="preserve"> </w:t>
      </w:r>
      <w:r>
        <w:t xml:space="preserve">(1) carvedilol — already restarted, continue; (2) sacubitril/valsartan at the 24/26 mg starting dose as SBP permits; (3) empagliflozin once intake is durably stable; (4) spironolactone after a confirmatory potassium; (5) furosemide only if volume reaccumulates. Each step should be separated by a BMP and BP check and anchored to the gating parameter</w:t>
      </w:r>
      <w:r>
        <w:t xml:space="preserve"> </w:t>
      </w:r>
      <w:r>
        <w:rPr>
          <w:bCs/>
          <w:b/>
        </w:rPr>
        <w:t xml:space="preserve">at the time the order is written</w:t>
      </w:r>
      <w:r>
        <w:t xml:space="preserve">, per both consultants.</w:t>
      </w:r>
    </w:p>
    <w:bookmarkEnd w:id="23"/>
    <w:bookmarkStart w:id="24" w:name="X094e28a5d0d2281d303320503bfe24514f66372"/>
    <w:p>
      <w:pPr>
        <w:pStyle w:val="Heading3"/>
      </w:pPr>
      <w:r>
        <w:t xml:space="preserve">4. INPATIENT-SPECIFIC — DO NOT carry forward (no independent outpatient indication)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Insulin lispro correctional sliding scale</w:t>
      </w:r>
      <w:r>
        <w:t xml:space="preserve"> </w:t>
      </w:r>
      <w:r>
        <w:t xml:space="preserve">— inpatient glycemic coverage during acute illness only (tapered to 2 units by HD6).</w:t>
      </w:r>
      <w:r>
        <w:t xml:space="preserve"> </w:t>
      </w:r>
      <w:r>
        <w:rPr>
          <w:bCs/>
          <w:b/>
        </w:rPr>
        <w:t xml:space="preserve">Not a home medication</w:t>
      </w:r>
      <w:r>
        <w:t xml:space="preserve">; home diabetes therapy is glargine (continued) ± held orals.</w:t>
      </w:r>
      <w:r>
        <w:t xml:space="preserve"> </w:t>
      </w:r>
      <w:r>
        <w:rPr>
          <w:bCs/>
          <w:b/>
        </w:rPr>
        <w:t xml:space="preserve">Do not prescribe at discharge.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IV crystalloid / saline lock</w:t>
      </w:r>
      <w:r>
        <w:t xml:space="preserve"> </w:t>
      </w:r>
      <w:r>
        <w:t xml:space="preserve">— inpatient volume support only. Discontinued.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Ceftriaxone 1 g IV q24h</w:t>
      </w:r>
      <w:r>
        <w:t xml:space="preserve"> </w:t>
      </w:r>
      <w:r>
        <w:t xml:space="preserve">— inpatient empiric IV phase (HD1–HD3). Completed as the IV component;</w:t>
      </w:r>
      <w:r>
        <w:t xml:space="preserve"> </w:t>
      </w:r>
      <w:r>
        <w:rPr>
          <w:bCs/>
          <w:b/>
        </w:rPr>
        <w:t xml:space="preserve">not continued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Interim inpatient prednisone coverage</w:t>
      </w:r>
      <w:r>
        <w:t xml:space="preserve"> </w:t>
      </w:r>
      <w:r>
        <w:t xml:space="preserve">— see §C; converts to a defined outpatient bridging dose, it does not carry forward as an open-ended</w:t>
      </w:r>
      <w:r>
        <w:t xml:space="preserve"> </w:t>
      </w:r>
      <w:r>
        <w:t xml:space="preserve">“</w:t>
      </w:r>
      <w:r>
        <w:t xml:space="preserve">inpatient steroid.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.-antibiotic-disposition-handoff-item-6"/>
    <w:p>
      <w:pPr>
        <w:pStyle w:val="Heading2"/>
      </w:pPr>
      <w:r>
        <w:t xml:space="preserve">B. ANTIBIOTIC DISPOSITION (Handoff item 6)</w:t>
      </w:r>
    </w:p>
    <w:p>
      <w:pPr>
        <w:pStyle w:val="FirstParagraph"/>
      </w:pPr>
      <w:r>
        <w:rPr>
          <w:bCs/>
          <w:b/>
        </w:rPr>
        <w:t xml:space="preserve">Decision: (b) Continue a short, defined oral course to completion with a named stop date.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Course to date:</w:t>
      </w:r>
      <w:r>
        <w:t xml:space="preserve"> </w:t>
      </w:r>
      <w:r>
        <w:t xml:space="preserve">Ceftriaxone 1 g IV q24h HD1–HD3 (3 days) → oral step-down</w:t>
      </w:r>
      <w:r>
        <w:t xml:space="preserve"> </w:t>
      </w:r>
      <w:r>
        <w:rPr>
          <w:bCs/>
          <w:b/>
        </w:rPr>
        <w:t xml:space="preserve">cefpodoxime 200 mg PO BID from HD4</w:t>
      </w:r>
      <w:r>
        <w:t xml:space="preserve">, continued HD4–HD6 (culture speciation supported step-down per HD4 note).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Response:</w:t>
      </w:r>
      <w:r>
        <w:t xml:space="preserve"> </w:t>
      </w:r>
      <w:r>
        <w:t xml:space="preserve">Afebrile since ~HD3,</w:t>
      </w:r>
      <w:r>
        <w:t xml:space="preserve"> </w:t>
      </w:r>
      <w:r>
        <w:rPr>
          <w:bCs/>
          <w:b/>
        </w:rPr>
        <w:t xml:space="preserve">WBC 15.6 → 9.4</w:t>
      </w:r>
      <w:r>
        <w:t xml:space="preserve">, Cr normalized to baseline, intake recovered — clear clinical resolution.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urinary-source infection with sepsis physiology</w:t>
      </w:r>
      <w:r>
        <w:t xml:space="preserve"> </w:t>
      </w:r>
      <w:r>
        <w:rPr>
          <w:bCs/>
          <w:b/>
        </w:rPr>
        <w:t xml:space="preserve">in a male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complicated</w:t>
      </w:r>
      <w:r>
        <w:t xml:space="preserve"> </w:t>
      </w:r>
      <w:r>
        <w:t xml:space="preserve">UTI and merits a complete directed course (~7 days) rather than stopping at a short IV-only interval, which would risk relapse. Counting the discharge-day doses, a clean landing point is</w:t>
      </w:r>
      <w:r>
        <w:t xml:space="preserve"> </w:t>
      </w:r>
      <w:r>
        <w:rPr>
          <w:bCs/>
          <w:b/>
        </w:rPr>
        <w:t xml:space="preserve">cefpodoxime 200 mg PO BID through the evening of 05/25/2026</w:t>
      </w:r>
      <w:r>
        <w:t xml:space="preserve"> </w:t>
      </w:r>
      <w:r>
        <w:t xml:space="preserve">(≈7 days total directed therapy: 3 IV + ~4 PO).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Discharge prescription:</w:t>
      </w:r>
      <w:r>
        <w:t xml:space="preserve"> </w:t>
      </w:r>
      <w:r>
        <w:t xml:space="preserve">Cefpodoxime 200 mg PO BID,</w:t>
      </w:r>
      <w:r>
        <w:t xml:space="preserve"> </w:t>
      </w:r>
      <w:r>
        <w:rPr>
          <w:bCs/>
          <w:b/>
        </w:rPr>
        <w:t xml:space="preserve">stop after the PM dose on 05/25/2026</w:t>
      </w:r>
      <w:r>
        <w:t xml:space="preserve"> </w:t>
      </w:r>
      <w:r>
        <w:t xml:space="preserve">(complete the bottle/defined count — no PRN continuation). Renal dosing acceptable at current eGFR; confirm final urine culture/sensitivities are consistent before release and adjust if an organism is resistant to cefpodoxime. This is a time-limited outpatient indication and does not become a chronic medication.</w:t>
      </w:r>
    </w:p>
    <w:p>
      <w:r>
        <w:pict>
          <v:rect style="width:0;height:1.5pt" o:hralign="center" o:hrstd="t" o:hr="t"/>
        </w:pict>
      </w:r>
    </w:p>
    <w:bookmarkEnd w:id="26"/>
    <w:bookmarkStart w:id="27" w:name="X5f674c35470f9248ffa10568a831fdb8328a76e"/>
    <w:p>
      <w:pPr>
        <w:pStyle w:val="Heading2"/>
      </w:pPr>
      <w:r>
        <w:t xml:space="preserve">C. PREDNISONE RECONCILIATION (Handoff item 2)</w:t>
      </w:r>
    </w:p>
    <w:p>
      <w:pPr>
        <w:pStyle w:val="FirstParagraph"/>
      </w:pPr>
      <w:r>
        <w:rPr>
          <w:bCs/>
          <w:b/>
        </w:rPr>
        <w:t xml:space="preserve">Sources reconciled:</w:t>
      </w:r>
      <w:r>
        <w:t xml:space="preserve"> </w:t>
      </w:r>
      <w:r>
        <w:t xml:space="preserve">patient recollection (unreliable — cannot state dose or taper), family/Mara (bottle labels may not match actual intake),</w:t>
      </w:r>
      <w:r>
        <w:t xml:space="preserve"> </w:t>
      </w:r>
      <w:r>
        <w:rPr>
          <w:bCs/>
          <w:b/>
        </w:rPr>
        <w:t xml:space="preserve">pharmacy fill history</w:t>
      </w:r>
      <w:r>
        <w:t xml:space="preserve"> </w:t>
      </w:r>
      <w:r>
        <w:t xml:space="preserve">(operative record of what was</w:t>
      </w:r>
      <w:r>
        <w:t xml:space="preserve"> </w:t>
      </w:r>
      <w:r>
        <w:rPr>
          <w:iCs/>
          <w:i/>
        </w:rPr>
        <w:t xml:space="preserve">written</w:t>
      </w:r>
      <w:r>
        <w:t xml:space="preserve">),</w:t>
      </w:r>
      <w:r>
        <w:t xml:space="preserve"> </w:t>
      </w:r>
      <w:r>
        <w:rPr>
          <w:bCs/>
          <w:b/>
        </w:rPr>
        <w:t xml:space="preserve">outpatient rheumatology provenance — Dr. Halvek</w:t>
      </w:r>
      <w:r>
        <w:t xml:space="preserve"> </w:t>
      </w:r>
      <w:r>
        <w:t xml:space="preserve">(operative record of</w:t>
      </w:r>
      <w:r>
        <w:t xml:space="preserve"> </w:t>
      </w:r>
      <w:r>
        <w:rPr>
          <w:iCs/>
          <w:i/>
        </w:rPr>
        <w:t xml:space="preserve">intent</w:t>
      </w:r>
      <w:r>
        <w:t xml:space="preserve">), PCP list (defers to rheumatology; reflects historical instructions only), and the inpatient MAR (interim coverage given daily HD1–HD6, no numeric home dose ever asserted).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Fill history (Harbor Crest):</w:t>
      </w:r>
      <w:r>
        <w:t xml:space="preserve"> </w:t>
      </w:r>
      <w:r>
        <w:t xml:space="preserve">taper trajectory over 6 months — 10 mg (Nov 2025–Jan 2026) →</w:t>
      </w:r>
      <w:r>
        <w:t xml:space="preserve"> </w:t>
      </w:r>
      <w:r>
        <w:rPr>
          <w:bCs/>
          <w:b/>
        </w:rPr>
        <w:t xml:space="preserve">5 mg (Feb–May 2026)</w:t>
      </w:r>
      <w:r>
        <w:t xml:space="preserve">.</w:t>
      </w:r>
      <w:r>
        <w:t xml:space="preserve"> </w:t>
      </w:r>
      <w:r>
        <w:rPr>
          <w:bCs/>
          <w:b/>
        </w:rPr>
        <w:t xml:space="preserve">Most recent dispensing 05/06/2026 = prednisone 5 mg, taper-style directions, new Rx with 2 refills.</w:t>
      </w:r>
      <w:r>
        <w:t xml:space="preserve"> </w:t>
      </w:r>
      <w:r>
        <w:t xml:space="preserve">Pharmacy explicitly cannot verify actual home intake, and</w:t>
      </w:r>
      <w:r>
        <w:t xml:space="preserve"> </w:t>
      </w:r>
      <w:r>
        <w:rPr>
          <w:bCs/>
          <w:b/>
        </w:rPr>
        <w:t xml:space="preserve">older bottles with 10 mg strength and conflicting directions may still be in circulation at home.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Rheumatology intent (Halvek):</w:t>
      </w:r>
      <w:r>
        <w:t xml:space="preserve"> </w:t>
      </w:r>
      <w:r>
        <w:t xml:space="preserve">cautious</w:t>
      </w:r>
      <w:r>
        <w:t xml:space="preserve"> </w:t>
      </w:r>
      <w:r>
        <w:rPr>
          <w:bCs/>
          <w:b/>
        </w:rPr>
        <w:t xml:space="preserve">slow taper with symptom-based reassessment — framed as gradual reduction, NOT cessation; avoid abrupt discontinuation</w:t>
      </w:r>
      <w:r>
        <w:t xml:space="preserve">; no numeric dose asserted; reconcile against fill history and verified med rec.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Endocrinology (Veylorn):</w:t>
      </w:r>
      <w:r>
        <w:t xml:space="preserve"> </w:t>
      </w:r>
      <w:r>
        <w:t xml:space="preserve">continue a</w:t>
      </w:r>
      <w:r>
        <w:t xml:space="preserve"> </w:t>
      </w:r>
      <w:r>
        <w:rPr>
          <w:bCs/>
          <w:b/>
        </w:rPr>
        <w:t xml:space="preserve">non-abrupt steroid course</w:t>
      </w:r>
      <w:r>
        <w:t xml:space="preserve">;</w:t>
      </w:r>
      <w:r>
        <w:t xml:space="preserve"> </w:t>
      </w:r>
      <w:r>
        <w:rPr>
          <w:bCs/>
          <w:b/>
        </w:rPr>
        <w:t xml:space="preserve">do NOT invent a new long-term dose from the inpatient record</w:t>
      </w:r>
      <w:r>
        <w:t xml:space="preserve">;</w:t>
      </w:r>
      <w:r>
        <w:t xml:space="preserve"> </w:t>
      </w:r>
      <w:r>
        <w:rPr>
          <w:bCs/>
          <w:b/>
        </w:rPr>
        <w:t xml:space="preserve">adrenal insufficiency is NOT established but is a monitored risk</w:t>
      </w:r>
      <w:r>
        <w:t xml:space="preserve"> </w:t>
      </w:r>
      <w:r>
        <w:t xml:space="preserve">given cumulative exposure; finalize the structured taper with rheumatology</w:t>
      </w:r>
      <w:r>
        <w:t xml:space="preserve"> </w:t>
      </w:r>
      <w:r>
        <w:rPr>
          <w:iCs/>
          <w:i/>
        </w:rPr>
        <w:t xml:space="preserve">outpatient</w:t>
      </w:r>
      <w:r>
        <w:t xml:space="preserve">; provide sick-day / stress-dose teaching; continue bone-health therapy (already on alendronate + Ca/VitD).</w:t>
      </w:r>
    </w:p>
    <w:p>
      <w:pPr>
        <w:pStyle w:val="FirstParagraph"/>
      </w:pPr>
      <w:r>
        <w:rPr>
          <w:bCs/>
          <w:b/>
        </w:rPr>
        <w:t xml:space="preserve">Reconciled discharge instruction:</w:t>
      </w:r>
      <w:r>
        <w:t xml:space="preserve"> </w:t>
      </w:r>
      <w:r>
        <w:t xml:space="preserve">Continue</w:t>
      </w:r>
      <w:r>
        <w:t xml:space="preserve"> </w:t>
      </w:r>
      <w:r>
        <w:rPr>
          <w:bCs/>
          <w:b/>
        </w:rPr>
        <w:t xml:space="preserve">prednisone 5 mg PO daily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bridging dose</w:t>
      </w:r>
      <w:r>
        <w:t xml:space="preserve"> </w:t>
      </w:r>
      <w:r>
        <w:t xml:space="preserve">— this is the most recent</w:t>
      </w:r>
      <w:r>
        <w:t xml:space="preserve"> </w:t>
      </w:r>
      <w:r>
        <w:rPr>
          <w:iCs/>
          <w:i/>
        </w:rPr>
        <w:t xml:space="preserve">operative</w:t>
      </w:r>
      <w:r>
        <w:t xml:space="preserve"> </w:t>
      </w:r>
      <w:r>
        <w:t xml:space="preserve">outpatient regimen (05/06/2026 fill) and is consistent with the interim inpatient coverage; it is explicitly a bridge,</w:t>
      </w:r>
      <w:r>
        <w:t xml:space="preserve"> </w:t>
      </w:r>
      <w:r>
        <w:rPr>
          <w:bCs/>
          <w:b/>
        </w:rPr>
        <w:t xml:space="preserve">not a newly invented long-term dose and not a new taper.</w:t>
      </w:r>
      <w:r>
        <w:t xml:space="preserve"> </w:t>
      </w:r>
      <w:r>
        <w:rPr>
          <w:bCs/>
          <w:b/>
        </w:rPr>
        <w:t xml:space="preserve">Do not stop abruptly.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structured long-term taper will be set by Dr. Halvek (Rheumatology) at follow-up within 2–4 weeks</w:t>
      </w:r>
      <w:r>
        <w:t xml:space="preserve">, coordinated with Endocrinology.</w:t>
      </w:r>
      <w:r>
        <w:t xml:space="preserve"> </w:t>
      </w:r>
      <w:r>
        <w:rPr>
          <w:bCs/>
          <w:b/>
        </w:rPr>
        <w:t xml:space="preserve">Medication-safety action:</w:t>
      </w:r>
      <w:r>
        <w:t xml:space="preserve"> </w:t>
      </w:r>
      <w:r>
        <w:t xml:space="preserve">instruct the family to</w:t>
      </w:r>
      <w:r>
        <w:t xml:space="preserve"> </w:t>
      </w:r>
      <w:r>
        <w:rPr>
          <w:bCs/>
          <w:b/>
        </w:rPr>
        <w:t xml:space="preserve">quarantine and remove all older prednisone bottles (the 10 mg strength and any with different/taper directions)</w:t>
      </w:r>
      <w:r>
        <w:t xml:space="preserve"> </w:t>
      </w:r>
      <w:r>
        <w:t xml:space="preserve">so only the single current 5 mg bottle remains at home — this is the single highest-yield error-prevention step for this patient. If any PMR flare (shoulder/hip-girdle stiffness, morning gel) occurs before the rheumatology visit, contact rheumatology/PCP rather than self-adjusting.</w:t>
      </w:r>
    </w:p>
    <w:p>
      <w:r>
        <w:pict>
          <v:rect style="width:0;height:1.5pt" o:hralign="center" o:hrstd="t" o:hr="t"/>
        </w:pict>
      </w:r>
    </w:p>
    <w:bookmarkEnd w:id="27"/>
    <w:bookmarkStart w:id="28" w:name="X72f0b169f419c10fc27498dabdc8427fb7d888d"/>
    <w:p>
      <w:pPr>
        <w:pStyle w:val="Heading2"/>
      </w:pPr>
      <w:r>
        <w:t xml:space="preserve">D. CARDIORENAL SEQUENCING RECOMMENDATION (Handoff item 1)</w:t>
      </w:r>
    </w:p>
    <w:p>
      <w:pPr>
        <w:pStyle w:val="FirstParagraph"/>
      </w:pPr>
      <w:r>
        <w:t xml:space="preserve">Synthesizing the serial Cardiology and Nephrology addenda (HD2–HD6): the AKI is resolved by laboratory criteria, but both services converge on</w:t>
      </w:r>
      <w:r>
        <w:t xml:space="preserve"> </w:t>
      </w:r>
      <w:r>
        <w:rPr>
          <w:bCs/>
          <w:b/>
        </w:rPr>
        <w:t xml:space="preserve">staged, monitored reintroduction rather than discharge-day restart of the four held agents.</w:t>
      </w:r>
      <w:r>
        <w:t xml:space="preserve"> </w:t>
      </w:r>
      <w:r>
        <w:t xml:space="preserve">The practical plan: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 discharge:</w:t>
      </w:r>
      <w:r>
        <w:t xml:space="preserve"> </w:t>
      </w:r>
      <w:r>
        <w:t xml:space="preserve">carvedilol continued (only GDMT agent active); sacubitril/valsartan, spironolactone, empagliflozin, metformin ER</w:t>
      </w:r>
      <w:r>
        <w:t xml:space="preserve"> </w:t>
      </w:r>
      <w:r>
        <w:rPr>
          <w:bCs/>
          <w:b/>
        </w:rPr>
        <w:t xml:space="preserve">held</w:t>
      </w:r>
      <w:r>
        <w:t xml:space="preserve">; furosemide held with a weight trigger.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Ambulatory restart order</w:t>
      </w:r>
      <w:r>
        <w:t xml:space="preserve"> </w:t>
      </w:r>
      <w:r>
        <w:t xml:space="preserve">(each gated by a BMP + BP at the time of the order, owned by the receiving clinician): carvedilol (continue) → sacubitril/valsartan → empagliflozin → spironolactone (after confirmatory K⁺) → furosemide only if volume reaccumulates.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Who owns it:</w:t>
      </w:r>
      <w:r>
        <w:t xml:space="preserve"> </w:t>
      </w:r>
      <w:r>
        <w:t xml:space="preserve">Cardiology (Dr. Caldrane) visit</w:t>
      </w:r>
      <w:r>
        <w:t xml:space="preserve"> </w:t>
      </w:r>
      <w:r>
        <w:rPr>
          <w:bCs/>
          <w:b/>
        </w:rPr>
        <w:t xml:space="preserve">≤2 weeks</w:t>
      </w:r>
      <w:r>
        <w:t xml:space="preserve"> </w:t>
      </w:r>
      <w:r>
        <w:t xml:space="preserve">for GDMT titration + orthostatic/BP assessment; Nephrology (Dr. Solthar)</w:t>
      </w:r>
      <w:r>
        <w:t xml:space="preserve"> </w:t>
      </w:r>
      <w:r>
        <w:rPr>
          <w:bCs/>
          <w:b/>
        </w:rPr>
        <w:t xml:space="preserve">1–2 weeks</w:t>
      </w:r>
      <w:r>
        <w:t xml:space="preserve"> </w:t>
      </w:r>
      <w:r>
        <w:t xml:space="preserve">with the first post-discharge BMP; PCP (Dr. Quenor)</w:t>
      </w:r>
      <w:r>
        <w:t xml:space="preserve"> </w:t>
      </w:r>
      <w:r>
        <w:rPr>
          <w:bCs/>
          <w:b/>
        </w:rPr>
        <w:t xml:space="preserve">≤7 days</w:t>
      </w:r>
      <w:r>
        <w:t xml:space="preserve"> </w:t>
      </w:r>
      <w:r>
        <w:t xml:space="preserve">to coordinate. No agent is declared</w:t>
      </w:r>
      <w:r>
        <w:t xml:space="preserve"> </w:t>
      </w:r>
      <w:r>
        <w:t xml:space="preserve">“</w:t>
      </w:r>
      <w:r>
        <w:t xml:space="preserve">safe to restart unilaterally at the moment of discharge</w:t>
      </w:r>
      <w:r>
        <w:t xml:space="preserve">”</w:t>
      </w:r>
      <w:r>
        <w:t xml:space="preserve"> </w:t>
      </w:r>
      <w:r>
        <w:t xml:space="preserve">by either consultant; the discharge order intentionally restarts nothing new today.</w:t>
      </w:r>
    </w:p>
    <w:p>
      <w:r>
        <w:pict>
          <v:rect style="width:0;height:1.5pt" o:hralign="center" o:hrstd="t" o:hr="t"/>
        </w:pict>
      </w:r>
    </w:p>
    <w:bookmarkEnd w:id="28"/>
    <w:bookmarkStart w:id="29" w:name="X83e27e2cd1f714e5a08c1fc8d13fb8462f80675"/>
    <w:p>
      <w:pPr>
        <w:pStyle w:val="Heading2"/>
      </w:pPr>
      <w:r>
        <w:t xml:space="preserve">E. OUTPATIENT-INDICATION VERIFICATION (Handoff item 3)</w:t>
      </w:r>
    </w:p>
    <w:p>
      <w:pPr>
        <w:pStyle w:val="FirstParagraph"/>
      </w:pPr>
      <w:r>
        <w:t xml:space="preserve">Every agent on the proposed discharge list maps to a documented outpatient indication (home regimen per verified med rec + PCP list): ASA, atorvastatin, carvedilol, glargine, gabapentin, pantoprazole, Ca/VitD, ferrous sulfate, alendronate, nitroglycerin, acetaminophen, PEG, senna, and</w:t>
      </w:r>
      <w:r>
        <w:t xml:space="preserve"> </w:t>
      </w:r>
      <w:r>
        <w:rPr>
          <w:bCs/>
          <w:b/>
        </w:rPr>
        <w:t xml:space="preserve">prednisone</w:t>
      </w:r>
      <w:r>
        <w:t xml:space="preserve"> </w:t>
      </w:r>
      <w:r>
        <w:t xml:space="preserve">(PMR, per Halvek). The</w:t>
      </w:r>
      <w:r>
        <w:t xml:space="preserve"> </w:t>
      </w:r>
      <w:r>
        <w:rPr>
          <w:bCs/>
          <w:b/>
        </w:rPr>
        <w:t xml:space="preserve">one time-limited addition with its own discharge justification is cefpodoxime</w:t>
      </w:r>
      <w:r>
        <w:t xml:space="preserve"> </w:t>
      </w:r>
      <w:r>
        <w:t xml:space="preserve">(completion of a complicated-UTI course, defined stop date).</w:t>
      </w:r>
      <w:r>
        <w:t xml:space="preserve"> </w:t>
      </w:r>
      <w:r>
        <w:rPr>
          <w:bCs/>
          <w:b/>
        </w:rPr>
        <w:t xml:space="preserve">No inpatient-only agent carries forward:</w:t>
      </w:r>
      <w:r>
        <w:t xml:space="preserve"> </w:t>
      </w:r>
      <w:r>
        <w:t xml:space="preserve">correctional lispro, IV fluids, and IV ceftriaxone are excluded. Held cardiorenal agents are documented as held, not prescribed.</w:t>
      </w:r>
    </w:p>
    <w:p>
      <w:r>
        <w:pict>
          <v:rect style="width:0;height:1.5pt" o:hralign="center" o:hrstd="t" o:hr="t"/>
        </w:pict>
      </w:r>
    </w:p>
    <w:bookmarkEnd w:id="29"/>
    <w:bookmarkStart w:id="32" w:name="X7639ca332d039e95e103694f7c232cea033fef3"/>
    <w:p>
      <w:pPr>
        <w:pStyle w:val="Heading2"/>
      </w:pPr>
      <w:r>
        <w:t xml:space="preserve">F. HOME MEDICATION-MANAGEMENT SAFETY PLAN (Handoff items 4 &amp; 5)</w:t>
      </w:r>
    </w:p>
    <w:p>
      <w:pPr>
        <w:pStyle w:val="FirstParagraph"/>
      </w:pPr>
      <w:r>
        <w:rPr>
          <w:bCs/>
          <w:b/>
        </w:rPr>
        <w:t xml:space="preserve">Risk substrate (from OT, PT, nursing, and family):</w:t>
      </w:r>
      <w:r>
        <w:t xml:space="preserve"> </w:t>
      </w:r>
      <w:r>
        <w:t xml:space="preserve">On reproducible OT testing (HD3 and HD5) the patient</w:t>
      </w:r>
      <w:r>
        <w:t xml:space="preserve"> </w:t>
      </w:r>
      <w:r>
        <w:rPr>
          <w:bCs/>
          <w:b/>
        </w:rPr>
        <w:t xml:space="preserve">could not reliably organize his 19-item regimen</w:t>
      </w:r>
      <w:r>
        <w:t xml:space="preserve"> </w:t>
      </w:r>
      <w:r>
        <w:t xml:space="preserve">— recurrent errors with</w:t>
      </w:r>
      <w:r>
        <w:t xml:space="preserve"> </w:t>
      </w:r>
      <w:r>
        <w:rPr>
          <w:bCs/>
          <w:b/>
        </w:rPr>
        <w:t xml:space="preserve">BID timing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PRN-vs-scheduled</w:t>
      </w:r>
      <w:r>
        <w:t xml:space="preserve"> </w:t>
      </w:r>
      <w:r>
        <w:t xml:space="preserve">distinctions, re-sorting already-placed bottles after distraction, and he</w:t>
      </w:r>
      <w:r>
        <w:t xml:space="preserve"> </w:t>
      </w:r>
      <w:r>
        <w:rPr>
          <w:bCs/>
          <w:b/>
        </w:rPr>
        <w:t xml:space="preserve">could not state his prednisone taper</w:t>
      </w:r>
      <w:r>
        <w:t xml:space="preserve">; he does</w:t>
      </w:r>
      <w:r>
        <w:t xml:space="preserve"> </w:t>
      </w:r>
      <w:r>
        <w:rPr>
          <w:bCs/>
          <w:b/>
        </w:rPr>
        <w:t xml:space="preserve">not self-detect these errors in real time.</w:t>
      </w:r>
      <w:r>
        <w:t xml:space="preserve"> </w:t>
      </w:r>
      <w:r>
        <w:t xml:space="preserve">Nursing corroborates (repeatedly unsure whether he had taken</w:t>
      </w:r>
      <w:r>
        <w:t xml:space="preserve"> </w:t>
      </w:r>
      <w:r>
        <w:t xml:space="preserve">“</w:t>
      </w:r>
      <w:r>
        <w:t xml:space="preserve">the kidney pill</w:t>
      </w:r>
      <w:r>
        <w:t xml:space="preserve">”</w:t>
      </w:r>
      <w:r>
        <w:t xml:space="preserve"> </w:t>
      </w:r>
      <w:r>
        <w:t xml:space="preserve">/ morning / noon doses; intermittent evening confusion through HD6). PT:</w:t>
      </w:r>
      <w:r>
        <w:t xml:space="preserve"> </w:t>
      </w:r>
      <w:r>
        <w:rPr>
          <w:bCs/>
          <w:b/>
        </w:rPr>
        <w:t xml:space="preserve">high fall risk (Morse 65)</w:t>
      </w:r>
      <w:r>
        <w:t xml:space="preserve">, rolling walker (not cane), bedside commode, grab bars, remove loose rugs, supervised mobility 5–7 days. Caregiving: Mara present/engaged but supervision windows undefined;</w:t>
      </w:r>
      <w:r>
        <w:t xml:space="preserve"> </w:t>
      </w:r>
      <w:r>
        <w:rPr>
          <w:bCs/>
          <w:b/>
        </w:rPr>
        <w:t xml:space="preserve">daughter Lenora covers weekend days + transport but not weekday mornings</w:t>
      </w:r>
      <w:r>
        <w:t xml:space="preserve"> </w:t>
      </w:r>
      <w:r>
        <w:t xml:space="preserve">— a concrete morning-supervision gap. The regimen is also changing (insulin restored, gabapentin restored, prednisone bridged, antibiotic added, five cardiorenal agents held) — exactly the scenario in which this patient errs.</w:t>
      </w:r>
    </w:p>
    <w:p>
      <w:pPr>
        <w:pStyle w:val="BodyText"/>
      </w:pPr>
      <w:r>
        <w:rPr>
          <w:bCs/>
          <w:b/>
        </w:rPr>
        <w:t xml:space="preserve">Safety actions: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Pre-filled weekly pill organizer</w:t>
      </w:r>
      <w:r>
        <w:t xml:space="preserve">, filled by family (home-health RN or Mara),</w:t>
      </w:r>
      <w:r>
        <w:t xml:space="preserve"> </w:t>
      </w:r>
      <w:r>
        <w:rPr>
          <w:bCs/>
          <w:b/>
        </w:rPr>
        <w:t xml:space="preserve">not the patient’s sole responsibility</w:t>
      </w:r>
      <w:r>
        <w:t xml:space="preserve"> </w:t>
      </w:r>
      <w:r>
        <w:t xml:space="preserve">in the early window (per OT).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Family-supervised administration with dose verification at each med time for the first 5–7 days</w:t>
      </w:r>
      <w:r>
        <w:t xml:space="preserve">, explicitly covering the</w:t>
      </w:r>
      <w:r>
        <w:t xml:space="preserve"> </w:t>
      </w:r>
      <w:r>
        <w:rPr>
          <w:bCs/>
          <w:b/>
        </w:rPr>
        <w:t xml:space="preserve">weekday-morning gap</w:t>
      </w:r>
      <w:r>
        <w:t xml:space="preserve"> </w:t>
      </w:r>
      <w:r>
        <w:t xml:space="preserve">(AM doses: ASA, carvedilol AM, glargine is nightly, pantoprazole, Ca/VitD, metformin remains held; the critical AM items are carvedilol and the antibiotic) — assign an accountable person for that window before discharge.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Remove all duplicate/outdated bottles</w:t>
      </w:r>
      <w:r>
        <w:t xml:space="preserve">, above all the</w:t>
      </w:r>
      <w:r>
        <w:t xml:space="preserve"> </w:t>
      </w:r>
      <w:r>
        <w:rPr>
          <w:bCs/>
          <w:b/>
        </w:rPr>
        <w:t xml:space="preserve">older-strength prednisone</w:t>
      </w:r>
      <w:r>
        <w:t xml:space="preserve"> </w:t>
      </w:r>
      <w:r>
        <w:t xml:space="preserve">(see §C), and confirm a single current bottle per drug.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Home-health nursing referral (Keystone HomeCare, pending acceptance)</w:t>
      </w:r>
      <w:r>
        <w:t xml:space="preserve"> </w:t>
      </w:r>
      <w:r>
        <w:t xml:space="preserve">for early medication review/reconciliation in the home and monitoring; confirm acceptance before or at discharge.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Environment/mobility:</w:t>
      </w:r>
      <w:r>
        <w:t xml:space="preserve"> </w:t>
      </w:r>
      <w:r>
        <w:t xml:space="preserve">rolling walker, bedside commode initially, bathroom grab bars, remove loose rugs; supervised ambulation 5–7 days; continue/encourage home CPAP. DME delivery and transport remain open per Case Management — confirm before discharge.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Single written medication sheet</w:t>
      </w:r>
      <w:r>
        <w:t xml:space="preserve"> </w:t>
      </w:r>
      <w:r>
        <w:t xml:space="preserve">in plain language listing continued / held / changed items and warning signs, given to the family (Mara + Lenora by phone).</w:t>
      </w:r>
    </w:p>
    <w:bookmarkStart w:id="30" w:name="X4d1dc71fa7ef18b194f7b1d0a62e4983e42925d"/>
    <w:p>
      <w:pPr>
        <w:pStyle w:val="Heading3"/>
      </w:pPr>
      <w:r>
        <w:t xml:space="preserve">Post-discharge renal &amp; cardiac monitoring plan (item 5 — none currently exists)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Labs:</w:t>
      </w:r>
      <w:r>
        <w:t xml:space="preserve"> </w:t>
      </w:r>
      <w:r>
        <w:rPr>
          <w:bCs/>
          <w:b/>
        </w:rPr>
        <w:t xml:space="preserve">BMP (creatinine/eGFR + potassium) within 3–5 days</w:t>
      </w:r>
      <w:r>
        <w:t xml:space="preserve"> </w:t>
      </w:r>
      <w:r>
        <w:t xml:space="preserve">of discharge at</w:t>
      </w:r>
      <w:r>
        <w:t xml:space="preserve"> </w:t>
      </w:r>
      <w:r>
        <w:rPr>
          <w:bCs/>
          <w:b/>
        </w:rPr>
        <w:t xml:space="preserve">Mercy Vale Outpatient Laboratory — Harbor Crest, (412) 555-0455</w:t>
      </w:r>
      <w:r>
        <w:t xml:space="preserve">, repeated per Nephrology (1–2 wk) and before any cardiorenal restart.</w:t>
      </w:r>
      <w:r>
        <w:t xml:space="preserve"> </w:t>
      </w:r>
      <w:r>
        <w:rPr>
          <w:bCs/>
          <w:b/>
        </w:rPr>
        <w:t xml:space="preserve">Confirm lab transport</w:t>
      </w:r>
      <w:r>
        <w:t xml:space="preserve"> </w:t>
      </w:r>
      <w:r>
        <w:t xml:space="preserve">with Case Management (family vehicle / Plan G NEMT / senior van — all currently unconfirmed).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Accountable clinician:</w:t>
      </w:r>
      <w:r>
        <w:t xml:space="preserve"> </w:t>
      </w:r>
      <w:r>
        <w:t xml:space="preserve">route results to</w:t>
      </w:r>
      <w:r>
        <w:t xml:space="preserve"> </w:t>
      </w:r>
      <w:r>
        <w:rPr>
          <w:bCs/>
          <w:b/>
        </w:rPr>
        <w:t xml:space="preserve">PCP (Dr. Quenor, ≤7 days)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Nephrology (Dr. Solthar, 1–2 wk)</w:t>
      </w:r>
      <w:r>
        <w:t xml:space="preserve">; Cardiology (≤2 wk) receives values for GDMT titration. Name the receiving clinician on the lab requisition so no value is orphaned.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Daily home weight</w:t>
      </w:r>
      <w:r>
        <w:t xml:space="preserve"> </w:t>
      </w:r>
      <w:r>
        <w:t xml:space="preserve">each morning against the</w:t>
      </w:r>
      <w:r>
        <w:t xml:space="preserve"> </w:t>
      </w:r>
      <w:r>
        <w:rPr>
          <w:bCs/>
          <w:b/>
        </w:rPr>
        <w:t xml:space="preserve">97 kg dry weight</w:t>
      </w:r>
      <w:r>
        <w:t xml:space="preserve">;</w:t>
      </w:r>
      <w:r>
        <w:t xml:space="preserve"> </w:t>
      </w:r>
      <w:r>
        <w:rPr>
          <w:bCs/>
          <w:b/>
        </w:rPr>
        <w:t xml:space="preserve">call if weight rises &gt;2 kg (≈4–5 lb)</w:t>
      </w:r>
      <w:r>
        <w:t xml:space="preserve"> </w:t>
      </w:r>
      <w:r>
        <w:t xml:space="preserve">— this is the furosemide trigger.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BP/HR check:</w:t>
      </w:r>
      <w:r>
        <w:t xml:space="preserve"> </w:t>
      </w:r>
      <w:r>
        <w:t xml:space="preserve">hold carvedilol and call if</w:t>
      </w:r>
      <w:r>
        <w:t xml:space="preserve"> </w:t>
      </w:r>
      <w:r>
        <w:rPr>
          <w:bCs/>
          <w:b/>
        </w:rPr>
        <w:t xml:space="preserve">SBP &lt;100 mmHg or symptomatic lightheadedness</w:t>
      </w:r>
      <w:r>
        <w:t xml:space="preserve">; report sustained SBP &gt;160 or symptomatic hypotension.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Glucose:</w:t>
      </w:r>
      <w:r>
        <w:t xml:space="preserve"> </w:t>
      </w:r>
      <w:r>
        <w:t xml:space="preserve">home fingersticks given the restored 18-unit glargine + resolving steroid/illness load; reconcile regimen at PCP/Endo visit.</w:t>
      </w:r>
    </w:p>
    <w:bookmarkEnd w:id="30"/>
    <w:bookmarkStart w:id="31" w:name="X3e8a813d24febf56c19d90212e7df100d491be1"/>
    <w:p>
      <w:pPr>
        <w:pStyle w:val="Heading3"/>
      </w:pPr>
      <w:r>
        <w:t xml:space="preserve">Follow-up appointments (confirm + arrange transport before discharge)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Talia Quenor,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plan; review first BMP; coordinate restarts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Nephrology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Iven Solthar,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recheck; gate cardiorenal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Maris Caldrane,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GDMT titration; orthostatic/BP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Endocrinology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Nerea Veylorn,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Glycemic regimen; steroid-axis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Rheumatology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Soren Halvek,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Finalize structured prednisone taper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5018308e8562866e88f5668d4b0bb22d6dc9f89"/>
    <w:p>
      <w:pPr>
        <w:pStyle w:val="Heading2"/>
      </w:pPr>
      <w:r>
        <w:t xml:space="preserve">G. TEACH-BACK RECOMMENDATIONS (patient + primary caregiver Mara Merrow; Lenora by phone)</w:t>
      </w:r>
    </w:p>
    <w:p>
      <w:pPr>
        <w:pStyle w:val="FirstParagraph"/>
      </w:pPr>
      <w:r>
        <w:t xml:space="preserve">Conduct teach-back</w:t>
      </w:r>
      <w:r>
        <w:t xml:space="preserve"> </w:t>
      </w:r>
      <w:r>
        <w:rPr>
          <w:bCs/>
          <w:b/>
        </w:rPr>
        <w:t xml:space="preserve">with family present before discharge</w:t>
      </w:r>
      <w:r>
        <w:t xml:space="preserve">, confirm understanding at the session</w:t>
      </w:r>
      <w:r>
        <w:t xml:space="preserve"> </w:t>
      </w:r>
      <w:r>
        <w:rPr>
          <w:bCs/>
          <w:b/>
        </w:rPr>
        <w:t xml:space="preserve">and again at ~24 h</w:t>
      </w:r>
      <w:r>
        <w:t xml:space="preserve"> </w:t>
      </w:r>
      <w:r>
        <w:t xml:space="preserve">(home-health RN or phone). Directly answers the five family questions on the chart. Have the patient/caregiver</w:t>
      </w:r>
      <w:r>
        <w:t xml:space="preserve"> </w:t>
      </w:r>
      <w:r>
        <w:rPr>
          <w:iCs/>
          <w:i/>
        </w:rPr>
        <w:t xml:space="preserve">restate in their own words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Changed/continued items:</w:t>
      </w:r>
      <w:r>
        <w:t xml:space="preserve"> </w:t>
      </w:r>
      <w:r>
        <w:t xml:space="preserve">carvedilol is continued (heart protection — do not skip); insulin glargine is back to the usual 18 units at bedtime; gabapentin back to 300 mg at night. Teach-back:</w:t>
      </w:r>
      <w:r>
        <w:t xml:space="preserve"> </w:t>
      </w:r>
      <w:r>
        <w:rPr>
          <w:iCs/>
          <w:i/>
        </w:rPr>
        <w:t xml:space="preserve">which medicines changed, and what to do if a dose is missed.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Held-and-not-yet-restarted items:</w:t>
      </w:r>
      <w:r>
        <w:t xml:space="preserve"> </w:t>
      </w:r>
      <w:r>
        <w:t xml:space="preserve">the two</w:t>
      </w:r>
      <w:r>
        <w:t xml:space="preserve"> </w:t>
      </w:r>
      <w:r>
        <w:t xml:space="preserve">“</w:t>
      </w:r>
      <w:r>
        <w:t xml:space="preserve">heart/kidney</w:t>
      </w:r>
      <w:r>
        <w:t xml:space="preserve">”</w:t>
      </w:r>
      <w:r>
        <w:t xml:space="preserve"> </w:t>
      </w:r>
      <w:r>
        <w:t xml:space="preserve">pills (sacubitril/valsartan, spironolactone), the diabetes SGLT2 pill (empagliflozin), metformin, and the water pill (furosemide) are</w:t>
      </w:r>
      <w:r>
        <w:t xml:space="preserve"> </w:t>
      </w:r>
      <w:r>
        <w:rPr>
          <w:bCs/>
          <w:b/>
        </w:rPr>
        <w:t xml:space="preserve">paused on purpose</w:t>
      </w:r>
      <w:r>
        <w:t xml:space="preserve"> </w:t>
      </w:r>
      <w:r>
        <w:t xml:space="preserve">and will be restarted by the heart/kidney doctors after blood tests —</w:t>
      </w:r>
      <w:r>
        <w:t xml:space="preserve"> </w:t>
      </w:r>
      <w:r>
        <w:rPr>
          <w:bCs/>
          <w:b/>
        </w:rPr>
        <w:t xml:space="preserve">do not resume from an old bottle.</w:t>
      </w:r>
      <w:r>
        <w:t xml:space="preserve"> </w:t>
      </w:r>
      <w:r>
        <w:t xml:space="preserve">Teach-back:</w:t>
      </w:r>
      <w:r>
        <w:t xml:space="preserve"> </w:t>
      </w:r>
      <w:r>
        <w:rPr>
          <w:iCs/>
          <w:i/>
        </w:rPr>
        <w:t xml:space="preserve">which medicines are paused and who decides when to restart.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Prednisone:</w:t>
      </w:r>
      <w:r>
        <w:t xml:space="preserve"> </w:t>
      </w:r>
      <w:r>
        <w:t xml:space="preserve">take</w:t>
      </w:r>
      <w:r>
        <w:t xml:space="preserve"> </w:t>
      </w:r>
      <w:r>
        <w:rPr>
          <w:bCs/>
          <w:b/>
        </w:rPr>
        <w:t xml:space="preserve">one 5 mg tablet daily</w:t>
      </w:r>
      <w:r>
        <w:t xml:space="preserve">,</w:t>
      </w:r>
      <w:r>
        <w:t xml:space="preserve"> </w:t>
      </w:r>
      <w:r>
        <w:rPr>
          <w:bCs/>
          <w:b/>
        </w:rPr>
        <w:t xml:space="preserve">never stop abruptly</w:t>
      </w:r>
      <w:r>
        <w:t xml:space="preserve">, the taper will be set by Dr. Halvek;</w:t>
      </w:r>
      <w:r>
        <w:t xml:space="preserve"> </w:t>
      </w:r>
      <w:r>
        <w:rPr>
          <w:bCs/>
          <w:b/>
        </w:rPr>
        <w:t xml:space="preserve">throw away older/different-strength prednisone bottles today.</w:t>
      </w:r>
      <w:r>
        <w:t xml:space="preserve"> </w:t>
      </w:r>
      <w:r>
        <w:t xml:space="preserve">Teach-back:</w:t>
      </w:r>
      <w:r>
        <w:t xml:space="preserve"> </w:t>
      </w:r>
      <w:r>
        <w:rPr>
          <w:iCs/>
          <w:i/>
        </w:rPr>
        <w:t xml:space="preserve">how much prednisone, from which single bottle, and why not to stop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Glycemic regimen:</w:t>
      </w:r>
      <w:r>
        <w:t xml:space="preserve"> </w:t>
      </w:r>
      <w:r>
        <w:t xml:space="preserve">glargine 18 units nightly; check sugars;</w:t>
      </w:r>
      <w:r>
        <w:t xml:space="preserve"> </w:t>
      </w:r>
      <w:r>
        <w:rPr>
          <w:bCs/>
          <w:b/>
        </w:rPr>
        <w:t xml:space="preserve">do not use the hospital sliding-scale lispro at home.</w:t>
      </w:r>
      <w:r>
        <w:t xml:space="preserve"> </w:t>
      </w:r>
      <w:r>
        <w:t xml:space="preserve">Teach-back:</w:t>
      </w:r>
      <w:r>
        <w:t xml:space="preserve"> </w:t>
      </w:r>
      <w:r>
        <w:rPr>
          <w:iCs/>
          <w:i/>
        </w:rPr>
        <w:t xml:space="preserve">the nightly insulin dose and when to call for lows/highs.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Antibiotic:</w:t>
      </w:r>
      <w:r>
        <w:t xml:space="preserve"> </w:t>
      </w:r>
      <w:r>
        <w:t xml:space="preserve">finish cefpodoxime through the evening of</w:t>
      </w:r>
      <w:r>
        <w:t xml:space="preserve"> </w:t>
      </w:r>
      <w:r>
        <w:rPr>
          <w:bCs/>
          <w:b/>
        </w:rPr>
        <w:t xml:space="preserve">05/25/2026</w:t>
      </w:r>
      <w:r>
        <w:t xml:space="preserve">, then stop. Teach-back:</w:t>
      </w:r>
      <w:r>
        <w:t xml:space="preserve"> </w:t>
      </w:r>
      <w:r>
        <w:rPr>
          <w:iCs/>
          <w:i/>
        </w:rPr>
        <w:t xml:space="preserve">the stop date.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Warning signs → action:</w:t>
      </w:r>
      <w:r>
        <w:t xml:space="preserve"> </w:t>
      </w:r>
      <w:r>
        <w:t xml:space="preserve">return weakness/confusion/lightheadedness or a near-fall, reduced intake,</w:t>
      </w:r>
      <w:r>
        <w:t xml:space="preserve"> </w:t>
      </w:r>
      <w:r>
        <w:rPr>
          <w:bCs/>
          <w:b/>
        </w:rPr>
        <w:t xml:space="preserve">weight up &gt;4–5 lb</w:t>
      </w:r>
      <w:r>
        <w:t xml:space="preserve">, chest pain/shortness of breath, fever, or PMR flare →</w:t>
      </w:r>
      <w:r>
        <w:t xml:space="preserve"> </w:t>
      </w:r>
      <w:r>
        <w:rPr>
          <w:bCs/>
          <w:b/>
        </w:rPr>
        <w:t xml:space="preserve">call PCP/on-call; chest pain or breathlessness → 911 / ED (412) 555-0150.</w:t>
      </w:r>
      <w:r>
        <w:t xml:space="preserve"> </w:t>
      </w:r>
      <w:r>
        <w:t xml:space="preserve">Teach-back:</w:t>
      </w:r>
      <w:r>
        <w:t xml:space="preserve"> </w:t>
      </w:r>
      <w:r>
        <w:rPr>
          <w:iCs/>
          <w:i/>
        </w:rPr>
        <w:t xml:space="preserve">name two warning signs and exactly who to call.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Safety logistics:</w:t>
      </w:r>
      <w:r>
        <w:t xml:space="preserve"> </w:t>
      </w:r>
      <w:r>
        <w:t xml:space="preserve">use the</w:t>
      </w:r>
      <w:r>
        <w:t xml:space="preserve"> </w:t>
      </w:r>
      <w:r>
        <w:rPr>
          <w:bCs/>
          <w:b/>
        </w:rPr>
        <w:t xml:space="preserve">rolling walker</w:t>
      </w:r>
      <w:r>
        <w:t xml:space="preserve"> </w:t>
      </w:r>
      <w:r>
        <w:t xml:space="preserve">(not the cane), family supervises meds/mobility the first 5–7 days including</w:t>
      </w:r>
      <w:r>
        <w:t xml:space="preserve"> </w:t>
      </w:r>
      <w:r>
        <w:rPr>
          <w:bCs/>
          <w:b/>
        </w:rPr>
        <w:t xml:space="preserve">weekday mornings</w:t>
      </w:r>
      <w:r>
        <w:t xml:space="preserve">, and attend the first lab draw and PCP visit.</w:t>
      </w:r>
    </w:p>
    <w:p>
      <w:r>
        <w:pict>
          <v:rect style="width:0;height:1.5pt" o:hralign="center" o:hrstd="t" o:hr="t"/>
        </w:pict>
      </w:r>
    </w:p>
    <w:bookmarkEnd w:id="33"/>
    <w:bookmarkStart w:id="34" w:name="disposition-statement"/>
    <w:p>
      <w:pPr>
        <w:pStyle w:val="Heading2"/>
      </w:pPr>
      <w:r>
        <w:t xml:space="preserve">DISPOSITION STATEMENT</w:t>
      </w:r>
    </w:p>
    <w:p>
      <w:pPr>
        <w:pStyle w:val="FirstParagraph"/>
      </w:pPr>
      <w:r>
        <w:t xml:space="preserve">Discharge on 05/24/2026 is supported from a medication-safety standpoint</w:t>
      </w:r>
      <w:r>
        <w:t xml:space="preserve"> </w:t>
      </w:r>
      <w:r>
        <w:rPr>
          <w:bCs/>
          <w:b/>
        </w:rPr>
        <w:t xml:space="preserve">contingent on</w:t>
      </w:r>
      <w:r>
        <w:t xml:space="preserve">: (1) family teach-back completed with the single reconciled medication sheet; (2) older prednisone bottles removed; (3) home-health acceptance, DME, first-lab transport, and the weekday-morning supervision owner confirmed by Case Management. No new cardiorenal agent is restarted today; carvedilol continues; prednisone is bridged at 5 mg with the taper owned by Rheumatology; cefpodoxime completes a defined course on 05/25/2026; correctional insulin and IV therapies do not carry forward.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Reconciling pharmacist:</w:t>
      </w:r>
      <w:r>
        <w:t xml:space="preserve"> </w:t>
      </w:r>
      <w:r>
        <w:t xml:space="preserve">____________________________ PharmD Date/Time: __________</w:t>
      </w:r>
      <w:r>
        <w:t xml:space="preserve"> </w:t>
      </w:r>
      <w:r>
        <w:rPr>
          <w:iCs/>
          <w:i/>
        </w:rPr>
        <w:t xml:space="preserve">(Inpatient Pharmacy / Medication Reconciliation — per request of E. Marlott, PharmD, BCPS)</w:t>
      </w:r>
    </w:p>
    <w:p>
      <w:pPr>
        <w:pStyle w:val="BodyText"/>
      </w:pPr>
      <w:r>
        <w:rPr>
          <w:bCs/>
          <w:b/>
        </w:rPr>
        <w:t xml:space="preserve">Covering hospitalist:</w:t>
      </w:r>
      <w:r>
        <w:t xml:space="preserve"> </w:t>
      </w:r>
      <w:r>
        <w:t xml:space="preserve">____________________________ MD Date/Time: __________</w:t>
      </w:r>
      <w:r>
        <w:t xml:space="preserve"> </w:t>
      </w:r>
      <w:r>
        <w:rPr>
          <w:iCs/>
          <w:i/>
        </w:rPr>
        <w:t xml:space="preserve">(Hospital Medicine — per request of E. Vossmere, MD)</w:t>
      </w:r>
    </w:p>
    <w:p>
      <w:pPr>
        <w:pStyle w:val="BodyText"/>
      </w:pPr>
      <w:r>
        <w:rPr>
          <w:iCs/>
          <w:i/>
        </w:rPr>
        <w:t xml:space="preserve">Co-signature required before release with the discharge paperwork. Page Pharmacy (412) 555-0170 or Hospital Medicine (412) 555-0301 with any clarification.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2026-06-06T01:20:17Z</dcterms:created>
  <dcterms:modified xsi:type="dcterms:W3CDTF">2026-06-06T01:20:17Z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