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54063f13cd73d476e3d2ad8a695c30b7c40815"/>
    <w:p>
      <w:pPr>
        <w:pStyle w:val="Heading1"/>
      </w:pPr>
      <w:r>
        <w:t xml:space="preserve">DISCHARGE MEDICATION RECONCILIATION &amp; MEDICATION-SAFETY REVIEW</w:t>
      </w:r>
    </w:p>
    <w:p>
      <w:pPr>
        <w:pStyle w:val="FirstParagraph"/>
      </w:pPr>
      <w:r>
        <w:rPr>
          <w:bCs/>
          <w:b/>
        </w:rPr>
        <w:t xml:space="preserve">Mercy Vale Regional Medical Center — Hospital Medicine / Inpatient Pharmacy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Korvin Merrow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MRN /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KM-6427819 / KM-2026-051877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DOB / Age /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02/18/1964 · 62 y · 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/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West Medical / 5W-318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Lisinopril — cough (ACE-inhibitor class intolerance). No known food/environmental allergies.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Admitted / Planned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05/18/2026 (HD1) / 05/24/2026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Attending /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Elian Vossmere, MD — Hospital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 medication reconciliation note, organized by disposition — for pharmacist + covering-hospitalist co-signature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Prepared in response to:</w:t>
      </w:r>
      <w:r>
        <w:t xml:space="preserve"> </w:t>
      </w:r>
      <w:r>
        <w:t xml:space="preserve">Discharge Medication Reconciliation Request (Vossmere/Marlott, 05/24/2026) and Medication-Safety Handoff Addendum (Marlott/Vossmere, 05/24/2026).</w:t>
      </w:r>
    </w:p>
    <w:p>
      <w:pPr>
        <w:pStyle w:val="BodyText"/>
      </w:pPr>
      <w:r>
        <w:rPr>
          <w:bCs/>
          <w:b/>
        </w:rPr>
        <w:t xml:space="preserve">Reconciliation basis:</w:t>
      </w:r>
      <w:r>
        <w:t xml:space="preserve"> </w:t>
      </w:r>
      <w:r>
        <w:t xml:space="preserve">Verified 19-item home list (Initial Med Rec, Marlott PharmD, 05/18 — 18 of 19 items source-agreed across patient, family, pharmacy fill history, and PCP; prednisone the sole unverified item); inpatient MAR HD1–HD6; Cardiology (Caldrane), Nephrology (Solthar), Endocrinology (Veylorn) consult series; outpatient Rheumatology provenance (Halvek); pharmacy refill history (Harbor Crest); PT/OT, nursing, case-management/social-work, and family-conference documentation; renal/infection/hemodynamic trend summary.</w:t>
      </w:r>
    </w:p>
    <w:p>
      <w:r>
        <w:pict>
          <v:rect style="width:0;height:1.5pt" o:hralign="center" o:hrstd="t" o:hr="t"/>
        </w:pict>
      </w:r>
    </w:p>
    <w:bookmarkStart w:id="20" w:name="X00f72eb7e436da62fa22aca7669ad3fa5ec3a51"/>
    <w:p>
      <w:pPr>
        <w:pStyle w:val="Heading2"/>
      </w:pPr>
      <w:r>
        <w:t xml:space="preserve">COURSE IN BRIEF (context for the dispositions below)</w:t>
      </w:r>
    </w:p>
    <w:p>
      <w:pPr>
        <w:pStyle w:val="FirstParagraph"/>
      </w:pPr>
      <w:r>
        <w:t xml:space="preserve">62-year-old admitted with suspected urinary-source infection/sepsis physiology and AKI-on-CKD (stage 3 baseline), after ~3 weeks of decline, poor intake, evening confusion, and a near-fall. Multimorbid: HFrEF, CAD s/p remote mid-LAD DES (2018, single-agent antiplatelet — original DAPT long completed), HTN, hyperlipidemia, T2DM with neuropathy, OSA, PMR on chronic prednisone, anemia of CKD, steroid-related osteopenia, GERD, constipation tendency.</w:t>
      </w:r>
    </w:p>
    <w:p>
      <w:pPr>
        <w:pStyle w:val="BodyText"/>
      </w:pPr>
      <w:r>
        <w:t xml:space="preserve">Six-day trajectory has been favorable and supports discharge planning:</w:t>
      </w:r>
      <w:r>
        <w:t xml:space="preserve"> </w:t>
      </w:r>
      <w:r>
        <w:rPr>
          <w:bCs/>
          <w:b/>
        </w:rPr>
        <w:t xml:space="preserve">Cr 2.62 → 1.80</w:t>
      </w:r>
      <w:r>
        <w:t xml:space="preserve"> </w:t>
      </w:r>
      <w:r>
        <w:t xml:space="preserve">mg/dL (upper edge of the 1.6–1.8 baseline; AKI resolved by lab criteria),</w:t>
      </w:r>
      <w:r>
        <w:t xml:space="preserve"> </w:t>
      </w:r>
      <w:r>
        <w:rPr>
          <w:bCs/>
          <w:b/>
        </w:rPr>
        <w:t xml:space="preserve">K⁺ 5.1 → 4.4</w:t>
      </w:r>
      <w:r>
        <w:t xml:space="preserve">,</w:t>
      </w:r>
      <w:r>
        <w:t xml:space="preserve"> </w:t>
      </w:r>
      <w:r>
        <w:rPr>
          <w:bCs/>
          <w:b/>
        </w:rPr>
        <w:t xml:space="preserve">WBC 15.6 → 9.4</w:t>
      </w:r>
      <w:r>
        <w:t xml:space="preserve">,</w:t>
      </w:r>
      <w:r>
        <w:t xml:space="preserve"> </w:t>
      </w:r>
      <w:r>
        <w:rPr>
          <w:bCs/>
          <w:b/>
        </w:rPr>
        <w:t xml:space="preserve">afebrile since HD3</w:t>
      </w:r>
      <w:r>
        <w:t xml:space="preserve">,</w:t>
      </w:r>
      <w:r>
        <w:t xml:space="preserve"> </w:t>
      </w:r>
      <w:r>
        <w:rPr>
          <w:bCs/>
          <w:b/>
        </w:rPr>
        <w:t xml:space="preserve">SBP 96 → 114–130</w:t>
      </w:r>
      <w:r>
        <w:t xml:space="preserve">, intake 25–40% → 75–90%, at 97 kg dry weight. Residual</w:t>
      </w:r>
      <w:r>
        <w:t xml:space="preserve"> </w:t>
      </w:r>
      <w:r>
        <w:rPr>
          <w:bCs/>
          <w:b/>
        </w:rPr>
        <w:t xml:space="preserve">functional/cognitive and medication-management vulnerability persists</w:t>
      </w:r>
      <w:r>
        <w:t xml:space="preserve"> </w:t>
      </w:r>
      <w:r>
        <w:t xml:space="preserve">(Morse 65; reproducible OT medication-sorting errors; patient an unreliable narrator of his own regimen) — the safety plan below is built around that gap.</w:t>
      </w:r>
    </w:p>
    <w:p>
      <w:r>
        <w:pict>
          <v:rect style="width:0;height:1.5pt" o:hralign="center" o:hrstd="t" o:hr="t"/>
        </w:pict>
      </w:r>
    </w:p>
    <w:bookmarkEnd w:id="20"/>
    <w:bookmarkStart w:id="25" w:name="disposition-summary"/>
    <w:p>
      <w:pPr>
        <w:pStyle w:val="Heading2"/>
      </w:pPr>
      <w:r>
        <w:t xml:space="preserve">DISPOSITION SUMMARY</w:t>
      </w:r>
    </w:p>
    <w:bookmarkStart w:id="21" w:name="Xab91753aa5283f074a000d2979c834e93fb776f"/>
    <w:p>
      <w:pPr>
        <w:pStyle w:val="Heading3"/>
      </w:pPr>
      <w:r>
        <w:t xml:space="preserve">A. CONTINUED at discharge (pre-admission dose, documented outpatient indication)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/ route / 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Aspirin 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secondary prevention (single-agent antiplatelet)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Atorvastatin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mg PO 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/ hyperlipidemia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Pantoprazole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GERD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Calcium carbonate/vit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mg/400 IU 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 health w/ steroid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HD1 (PO), then given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Ferrous sulfate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 mg PO every other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of 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on schedule (alternating-day)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Alendronate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mg PO weekly (Sun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Steroid-related osteopenia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due inpatient; resume home weekly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Nitroglycerin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mg SL PRN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Available; never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Acetaminophen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mg PO q6h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PRN, sparing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 3350 / Senna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g daily PRN / 8.6 mg qHS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Bowel regimen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PRN, intermittent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Carvedilol 12.5 mg PO BID — CONTINUE</w:t>
      </w:r>
      <w:r>
        <w:t xml:space="preserve"> </w:t>
      </w:r>
      <w:r>
        <w:t xml:space="preserve">(the only cardiorenal agent already restarted inpatient). Hold-and-call parameter:</w:t>
      </w:r>
      <w:r>
        <w:t xml:space="preserve"> </w:t>
      </w:r>
      <w:r>
        <w:rPr>
          <w:bCs/>
          <w:b/>
        </w:rPr>
        <w:t xml:space="preserve">SBP &lt; 100 mmHg or symptomatic lightheadedness/orthostasis.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Insulin glargine 18 units SC nightly — CONTINUE at the home dose</w:t>
      </w:r>
      <w:r>
        <w:t xml:space="preserve"> </w:t>
      </w:r>
      <w:r>
        <w:t xml:space="preserve">(titrated 12→18 u inpatient, back to home dose by HD6). No new glycemic agent added in-hospital; none should be added at discharge.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Prednisone — CONTINUE without interruption (non-abrupt)</w:t>
      </w:r>
      <w:r>
        <w:t xml:space="preserve">; reconciliation/handling in §C.</w:t>
      </w:r>
    </w:p>
    <w:p>
      <w:r>
        <w:pict>
          <v:rect style="width:0;height:1.5pt" o:hralign="center" o:hrstd="t" o:hr="t"/>
        </w:pict>
      </w:r>
    </w:p>
    <w:bookmarkEnd w:id="21"/>
    <w:bookmarkStart w:id="22" w:name="Xa2cc6942eadcd02c90501338e4b81c78e2fd4dd"/>
    <w:p>
      <w:pPr>
        <w:pStyle w:val="Heading3"/>
      </w:pPr>
      <w:r>
        <w:t xml:space="preserve">B. HELD at discharge, WITH explicit restart parameters</w:t>
      </w:r>
    </w:p>
    <w:p>
      <w:pPr>
        <w:pStyle w:val="FirstParagraph"/>
      </w:pPr>
      <w:r>
        <w:t xml:space="preserve">All four agents below were appropriately held across the entire inpatient course for AKI/hemodynamic/volume vulnerability. Both Cardiology and Nephrology</w:t>
      </w:r>
      <w:r>
        <w:t xml:space="preserve"> </w:t>
      </w:r>
      <w:r>
        <w:rPr>
          <w:bCs/>
          <w:b/>
        </w:rPr>
        <w:t xml:space="preserve">explicitly declined to declare a unilateral or simultaneous restart safe at the moment of discharge.</w:t>
      </w:r>
      <w:r>
        <w:t xml:space="preserve"> </w:t>
      </w:r>
      <w:r>
        <w:t xml:space="preserve">The agreed position is a</w:t>
      </w:r>
      <w:r>
        <w:t xml:space="preserve"> </w:t>
      </w:r>
      <w:r>
        <w:rPr>
          <w:bCs/>
          <w:b/>
        </w:rPr>
        <w:t xml:space="preserve">staged, parameter-gated outpatient restart</w:t>
      </w:r>
      <w:r>
        <w:t xml:space="preserve">, not a calendar restart and not all-at-once —</w:t>
      </w:r>
      <w:r>
        <w:t xml:space="preserve"> </w:t>
      </w:r>
      <w:r>
        <w:t xml:space="preserve">“</w:t>
      </w:r>
      <w:r>
        <w:t xml:space="preserve">AKI resolved by labs on a monitored floor is not the same as restored home physiologic reserve</w:t>
      </w:r>
      <w:r>
        <w:t xml:space="preserve">”</w:t>
      </w:r>
      <w:r>
        <w:t xml:space="preserve"> </w:t>
      </w:r>
      <w:r>
        <w:t xml:space="preserve">(Nephrology, HD6).</w:t>
      </w:r>
      <w:r>
        <w:t xml:space="preserve"> </w:t>
      </w:r>
      <w:r>
        <w:rPr>
          <w:bCs/>
          <w:b/>
        </w:rPr>
        <w:t xml:space="preserve">Do NOT auto-resume these on the discharge prescription.</w:t>
      </w:r>
      <w:r>
        <w:t xml:space="preserve"> </w:t>
      </w:r>
      <w:r>
        <w:t xml:space="preserve">Written restart instructions go to patient/family, PCP, Cardiology, and Nephrology.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Held 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gate (meet BEFORE resuming)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Sacubitril/valsartan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24/26 mg 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RAAS/neprilysin load on AKI; SBP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at a</w:t>
            </w:r>
            <w:r>
              <w:t xml:space="preserve"> </w:t>
            </w:r>
            <w:r>
              <w:rPr>
                <w:bCs/>
                <w:b/>
              </w:rPr>
              <w:t xml:space="preserve">cardiology/nephrology-coordinated outpatient visit</w:t>
            </w:r>
            <w:r>
              <w:t xml:space="preserve"> </w:t>
            </w:r>
            <w:r>
              <w:t xml:space="preserve">once Cr stable at/near baseline and SBP reserve adequate; recheck BMP after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Spironolactone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Hyperkalemia/AKI risk (K⁺ 5.1 on admission)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only with</w:t>
            </w:r>
            <w:r>
              <w:t xml:space="preserve"> </w:t>
            </w:r>
            <w:r>
              <w:rPr>
                <w:bCs/>
                <w:b/>
              </w:rPr>
              <w:t xml:space="preserve">K⁺ and Cr confirmed acceptable</w:t>
            </w:r>
            <w:r>
              <w:t xml:space="preserve">; sequence after RAAS decisions; post-restart BMP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Empagliflozin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illness / poor intake / 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once</w:t>
            </w:r>
            <w:r>
              <w:t xml:space="preserve"> </w:t>
            </w:r>
            <w:r>
              <w:rPr>
                <w:bCs/>
                <w:b/>
              </w:rPr>
              <w:t xml:space="preserve">euvolemic with stable intake and renal function</w:t>
            </w:r>
            <w:r>
              <w:t xml:space="preserve"> </w:t>
            </w:r>
            <w:r>
              <w:t xml:space="preserve">at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Furosemide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depletion / prerenal physiology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</w:t>
            </w:r>
            <w:r>
              <w:t xml:space="preserve"> </w:t>
            </w:r>
            <w:r>
              <w:rPr>
                <w:bCs/>
                <w:b/>
              </w:rPr>
              <w:t xml:space="preserve">only if volume reaccumulates</w:t>
            </w:r>
            <w:r>
              <w:t xml:space="preserve"> </w:t>
            </w:r>
            <w:r>
              <w:t xml:space="preserve">(daily weight vs 97 kg dry weight, edema, dyspnea) — not reflexively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restart SEQUENCE (for the ambulatory teams; item #3 of the request).</w:t>
      </w:r>
      <w:r>
        <w:t xml:space="preserve"> </w:t>
      </w:r>
      <w:r>
        <w:t xml:space="preserve">Staged, one agent at a time, each tied to the gate above and re-checked before the next step: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Carvedilol — already done</w:t>
      </w:r>
      <w:r>
        <w:t xml:space="preserve"> </w:t>
      </w:r>
      <w:r>
        <w:t xml:space="preserve">(tolerated BID, HD4–HD6).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Sacubitril/valsartan</w:t>
      </w:r>
      <w:r>
        <w:t xml:space="preserve"> </w:t>
      </w:r>
      <w:r>
        <w:t xml:space="preserve">next, at the</w:t>
      </w:r>
      <w:r>
        <w:t xml:space="preserve"> </w:t>
      </w:r>
      <w:r>
        <w:rPr>
          <w:bCs/>
          <w:b/>
        </w:rPr>
        <w:t xml:space="preserve">2-week Cardiology visit</w:t>
      </w:r>
      <w:r>
        <w:t xml:space="preserve">, if SBP reserve allows — restart first because it carries the largest HFrEF mortality/readmission benefit and BP is the limiting variable.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Empagliflozin</w:t>
      </w:r>
      <w:r>
        <w:t xml:space="preserve"> </w:t>
      </w:r>
      <w:r>
        <w:t xml:space="preserve">once euvolemic with stable intake (renal/cardiac benefit, modest BP effect).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Spironolactone</w:t>
      </w:r>
      <w:r>
        <w:t xml:space="preserve"> </w:t>
      </w:r>
      <w:r>
        <w:t xml:space="preserve">last among the RAAS-axis agents, only after K⁺/Cr reconfirmed on the post-restart BMP.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Furosemide — conditional, symptom/weight-driven</w:t>
      </w:r>
      <w:r>
        <w:t xml:space="preserve">, not scheduled; this patient was volume-depleted, not congested, throughout.</w:t>
      </w:r>
    </w:p>
    <w:p>
      <w:pPr>
        <w:pStyle w:val="BlockText"/>
      </w:pPr>
      <w:r>
        <w:t xml:space="preserve">Rationale (one line): Cardiology pressed to preserve GDMT/sequence early; Nephrology held reserve as fragile and restart as staged/lab-gated — complementary, not contradictory. Carvedilol captured early; the renally/hemodynamically sensitive agents are staged outpatient against hard parameters, with final agent/dose/timing the ambulatory decision of Cardiology + Nephrology written against the gate value on the day the order is placed.</w:t>
      </w:r>
    </w:p>
    <w:p>
      <w:r>
        <w:pict>
          <v:rect style="width:0;height:1.5pt" o:hralign="center" o:hrstd="t" o:hr="t"/>
        </w:pict>
      </w:r>
    </w:p>
    <w:bookmarkEnd w:id="22"/>
    <w:bookmarkStart w:id="23" w:name="Xa38731e2bd9c89228c699de870dec0e4ec6f2c3"/>
    <w:p>
      <w:pPr>
        <w:pStyle w:val="Heading3"/>
      </w:pPr>
      <w:r>
        <w:t xml:space="preserve">C. DOSE-MODIFIED / RECONCILED-BUT-UNVERIFIED</w:t>
      </w:r>
    </w:p>
    <w:p>
      <w:pPr>
        <w:pStyle w:val="FirstParagraph"/>
      </w:pPr>
      <w:r>
        <w:rPr>
          <w:bCs/>
          <w:b/>
        </w:rPr>
        <w:t xml:space="preserve">Prednisone (PMR) — CONTINUE a non-abrupt daily dose at discharge; final taper is an OUTPATIENT rheumatology decision. No numeric long-term outpatient dose is asserted from inpatient sources.</w:t>
      </w:r>
    </w:p>
    <w:p>
      <w:pPr>
        <w:pStyle w:val="BodyText"/>
      </w:pPr>
      <w:r>
        <w:t xml:space="preserve">Reconciliation across all available sources: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Rheumatology (Halvek, authoritative for intent):</w:t>
      </w:r>
      <w:r>
        <w:t xml:space="preserve"> </w:t>
      </w:r>
      <w:r>
        <w:t xml:space="preserve">several-year PMR course; most recent documented intent is a</w:t>
      </w:r>
      <w:r>
        <w:t xml:space="preserve"> </w:t>
      </w:r>
      <w:r>
        <w:rPr>
          <w:bCs/>
          <w:b/>
        </w:rPr>
        <w:t xml:space="preserve">cautious slow taper while controlled — NOT cessation; avoid abrupt discontinuation.</w:t>
      </w:r>
      <w:r>
        <w:t xml:space="preserve"> </w:t>
      </w:r>
      <w:r>
        <w:t xml:space="preserve">Deliberately states</w:t>
      </w:r>
      <w:r>
        <w:t xml:space="preserve"> </w:t>
      </w:r>
      <w:r>
        <w:rPr>
          <w:bCs/>
          <w:b/>
        </w:rPr>
        <w:t xml:space="preserve">no numeric dose</w:t>
      </w:r>
      <w:r>
        <w:t xml:space="preserve">, and defers</w:t>
      </w:r>
      <w:r>
        <w:t xml:space="preserve"> </w:t>
      </w:r>
      <w:r>
        <w:t xml:space="preserve">“</w:t>
      </w:r>
      <w:r>
        <w:t xml:space="preserve">what was most recently written</w:t>
      </w:r>
      <w:r>
        <w:t xml:space="preserve">”</w:t>
      </w:r>
      <w:r>
        <w:t xml:space="preserve"> </w:t>
      </w:r>
      <w:r>
        <w:t xml:space="preserve">to pharmacy fill history / active e-prescription.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Pharmacy fill history (operative for what was written):</w:t>
      </w:r>
      <w:r>
        <w:t xml:space="preserve"> </w:t>
      </w:r>
      <w:r>
        <w:t xml:space="preserve">a downward trajectory over 6 months —</w:t>
      </w:r>
      <w:r>
        <w:t xml:space="preserve"> </w:t>
      </w:r>
      <w:r>
        <w:rPr>
          <w:bCs/>
          <w:b/>
        </w:rPr>
        <w:t xml:space="preserve">10 mg</w:t>
      </w:r>
      <w:r>
        <w:t xml:space="preserve"> </w:t>
      </w:r>
      <w:r>
        <w:t xml:space="preserve">(11/2025, 12/2025, 01/2026) →</w:t>
      </w:r>
      <w:r>
        <w:t xml:space="preserve"> </w:t>
      </w:r>
      <w:r>
        <w:rPr>
          <w:bCs/>
          <w:b/>
        </w:rPr>
        <w:t xml:space="preserve">5 mg</w:t>
      </w:r>
      <w:r>
        <w:t xml:space="preserve"> </w:t>
      </w:r>
      <w:r>
        <w:t xml:space="preserve">(from 02/2026), with directions varying across fills (</w:t>
      </w:r>
      <w:r>
        <w:t xml:space="preserve">“</w:t>
      </w:r>
      <w:r>
        <w:t xml:space="preserve">1 tab daily,</w:t>
      </w:r>
      <w:r>
        <w:t xml:space="preserve">”</w:t>
      </w:r>
      <w:r>
        <w:t xml:space="preserve"> </w:t>
      </w:r>
      <w:r>
        <w:t xml:space="preserve">“</w:t>
      </w:r>
      <w:r>
        <w:t xml:space="preserve">…then decrease per schedule,</w:t>
      </w:r>
      <w:r>
        <w:t xml:space="preserve">”</w:t>
      </w:r>
      <w:r>
        <w:t xml:space="preserve"> </w:t>
      </w:r>
      <w:r>
        <w:t xml:space="preserve">“</w:t>
      </w:r>
      <w:r>
        <w:t xml:space="preserve">taper per provider instructions,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½ tablet daily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2.5 mg</w:t>
      </w:r>
      <w:r>
        <w:t xml:space="preserve"> </w:t>
      </w:r>
      <w:r>
        <w:t xml:space="preserve">on 03/22).</w:t>
      </w:r>
      <w:r>
        <w:t xml:space="preserve"> </w:t>
      </w:r>
      <w:r>
        <w:rPr>
          <w:bCs/>
          <w:b/>
        </w:rPr>
        <w:t xml:space="preserve">Most recent dispense 05/06/2026 = 5 mg tablet, taper-style directions.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Patient:</w:t>
      </w:r>
      <w:r>
        <w:t xml:space="preserve"> </w:t>
      </w:r>
      <w:r>
        <w:t xml:space="preserve">“</w:t>
      </w:r>
      <w:r>
        <w:t xml:space="preserve">still on a little… might have been tapering off</w:t>
      </w:r>
      <w:r>
        <w:t xml:space="preserve">”</w:t>
      </w:r>
      <w:r>
        <w:t xml:space="preserve"> </w:t>
      </w:r>
      <w:r>
        <w:t xml:space="preserve">— cannot state strength or schedule; unreliable.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Family (Mara):</w:t>
      </w:r>
      <w:r>
        <w:t xml:space="preserve"> </w:t>
      </w:r>
      <w:r>
        <w:t xml:space="preserve">taper understood; bottle labels and actual intake may not match; multiple instruction sets seen; cannot reconstruct recent day-by-day adherence.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PCP (Quenor):</w:t>
      </w:r>
      <w:r>
        <w:t xml:space="preserve"> </w:t>
      </w:r>
      <w:r>
        <w:t xml:space="preserve">defers to rheumatology; PCP list reflects historical instructions and is NOT the current taper directive.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Endocrinology (Veylorn):</w:t>
      </w:r>
      <w:r>
        <w:t xml:space="preserve"> </w:t>
      </w:r>
      <w:r>
        <w:t xml:space="preserve">continue non-abrupt (stress-equivalent) coverage during illness;</w:t>
      </w:r>
      <w:r>
        <w:t xml:space="preserve"> </w:t>
      </w:r>
      <w:r>
        <w:rPr>
          <w:bCs/>
          <w:b/>
        </w:rPr>
        <w:t xml:space="preserve">do not invent a new long-term dose inpatient</w:t>
      </w:r>
      <w:r>
        <w:t xml:space="preserve">; adrenal insufficiency</w:t>
      </w:r>
      <w:r>
        <w:t xml:space="preserve"> </w:t>
      </w:r>
      <w:r>
        <w:rPr>
          <w:bCs/>
          <w:b/>
        </w:rPr>
        <w:t xml:space="preserve">NOT established</w:t>
      </w:r>
      <w:r>
        <w:t xml:space="preserve"> </w:t>
      </w:r>
      <w:r>
        <w:t xml:space="preserve">but chronic exposure is a real risk substrate; finalize a structured taper with Halvek after the acute illness resolves.</w:t>
      </w:r>
    </w:p>
    <w:p>
      <w:pPr>
        <w:pStyle w:val="BodyText"/>
      </w:pPr>
      <w:r>
        <w:rPr>
          <w:bCs/>
          <w:b/>
        </w:rPr>
        <w:t xml:space="preserve">Reconciled conclusion:</w:t>
      </w:r>
      <w:r>
        <w:t xml:space="preserve"> </w:t>
      </w:r>
      <w:r>
        <w:t xml:space="preserve">multiple strengths/directions have been in circulation and</w:t>
      </w:r>
      <w:r>
        <w:t xml:space="preserve"> </w:t>
      </w:r>
      <w:r>
        <w:rPr>
          <w:bCs/>
          <w:b/>
        </w:rPr>
        <w:t xml:space="preserve">no source can verify what was actually taken at home</w:t>
      </w:r>
      <w:r>
        <w:t xml:space="preserve"> </w:t>
      </w:r>
      <w:r>
        <w:t xml:space="preserve">— a precise pre-admission home dose is unrecoverable and must not be fabricated. Most-recent</w:t>
      </w:r>
      <w:r>
        <w:t xml:space="preserve"> </w:t>
      </w:r>
      <w:r>
        <w:rPr>
          <w:iCs/>
          <w:i/>
        </w:rPr>
        <w:t xml:space="preserve">written</w:t>
      </w:r>
      <w:r>
        <w:t xml:space="preserve"> </w:t>
      </w:r>
      <w:r>
        <w:t xml:space="preserve">strength is</w:t>
      </w:r>
      <w:r>
        <w:t xml:space="preserve"> </w:t>
      </w:r>
      <w:r>
        <w:rPr>
          <w:bCs/>
          <w:b/>
        </w:rPr>
        <w:t xml:space="preserve">5 mg with taper intent</w:t>
      </w:r>
      <w:r>
        <w:t xml:space="preserve">.</w:t>
      </w:r>
      <w:r>
        <w:t xml:space="preserve"> </w:t>
      </w:r>
      <w:r>
        <w:rPr>
          <w:bCs/>
          <w:b/>
        </w:rPr>
        <w:t xml:space="preserve">Disposition:</w:t>
      </w:r>
      <w:r>
        <w:t xml:space="preserve"> </w:t>
      </w:r>
      <w:r>
        <w:t xml:space="preserve">discharge on a single, unambiguous</w:t>
      </w:r>
      <w:r>
        <w:t xml:space="preserve"> </w:t>
      </w:r>
      <w:r>
        <w:rPr>
          <w:bCs/>
          <w:b/>
        </w:rPr>
        <w:t xml:space="preserve">continuation dose consistent with the most recent 5 mg dispense, taken once daily without interruption</w:t>
      </w:r>
      <w:r>
        <w:t xml:space="preserve">, explicitly labeled as a bridge pending rheumatology, with a</w:t>
      </w:r>
      <w:r>
        <w:t xml:space="preserve"> </w:t>
      </w:r>
      <w:r>
        <w:rPr>
          <w:bCs/>
          <w:b/>
        </w:rPr>
        <w:t xml:space="preserve">rheumatology appointment within 2–4 weeks (coordinated with Endocrinology) to set the definitive taper.</w:t>
      </w:r>
      <w:r>
        <w:t xml:space="preserve"> </w:t>
      </w:r>
      <w:r>
        <w:t xml:space="preserve">Do not discontinue; do not hand the patient overlapping older bottles (10 mg;</w:t>
      </w:r>
      <w:r>
        <w:t xml:space="preserve"> </w:t>
      </w:r>
      <w:r>
        <w:t xml:space="preserve">“</w:t>
      </w:r>
      <w:r>
        <w:t xml:space="preserve">½ tablet</w:t>
      </w:r>
      <w:r>
        <w:t xml:space="preserve">”</w:t>
      </w:r>
      <w:r>
        <w:t xml:space="preserve">). Sick-day/stress-dose teaching per §E.</w:t>
      </w:r>
    </w:p>
    <w:p>
      <w:r>
        <w:pict>
          <v:rect style="width:0;height:1.5pt" o:hralign="center" o:hrstd="t" o:hr="t"/>
        </w:pict>
      </w:r>
    </w:p>
    <w:bookmarkEnd w:id="23"/>
    <w:bookmarkStart w:id="24" w:name="Xffc4d77e727515d01ef0febf17dec5066b9e7ae"/>
    <w:p>
      <w:pPr>
        <w:pStyle w:val="Heading3"/>
      </w:pPr>
      <w:r>
        <w:t xml:space="preserve">D. INPATIENT-SPECIFIC — do NOT carry forward (request item #4; handoff item #3/#6)</w:t>
      </w:r>
    </w:p>
    <w:p>
      <w:pPr>
        <w:pStyle w:val="FirstParagraph"/>
      </w:pPr>
      <w:r>
        <w:t xml:space="preserve">Each item below was ordered for an inpatient-only indication and has</w:t>
      </w:r>
      <w:r>
        <w:t xml:space="preserve"> </w:t>
      </w:r>
      <w:r>
        <w:rPr>
          <w:bCs/>
          <w:b/>
        </w:rPr>
        <w:t xml:space="preserve">no independent outpatient justification</w:t>
      </w:r>
      <w:r>
        <w:t xml:space="preserve">; none should appear on the discharge prescription.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Correctional insulin lispro (sliding scale):</w:t>
      </w:r>
      <w:r>
        <w:t xml:space="preserve"> </w:t>
      </w:r>
      <w:r>
        <w:t xml:space="preserve">inpatient glycemic coverage during acute illness; tapered to minimal use by HD6.</w:t>
      </w:r>
      <w:r>
        <w:t xml:space="preserve"> </w:t>
      </w:r>
      <w:r>
        <w:rPr>
          <w:bCs/>
          <w:b/>
        </w:rPr>
        <w:t xml:space="preserve">Not a home order</w:t>
      </w:r>
      <w:r>
        <w:t xml:space="preserve"> </w:t>
      </w:r>
      <w:r>
        <w:t xml:space="preserve">— home diabetes control is basal glargine ± the held oral agents, reviewed outpatient.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IV crystalloid (0.9% NS) cautious-volume strategy:</w:t>
      </w:r>
      <w:r>
        <w:t xml:space="preserve"> </w:t>
      </w:r>
      <w:r>
        <w:t xml:space="preserve">off by HD4 (saline lock). Inpatient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Empiric antibiotics — see antibiotic disposition below.</w:t>
      </w:r>
    </w:p>
    <w:p>
      <w:pPr>
        <w:pStyle w:val="FirstParagraph"/>
      </w:pPr>
      <w:r>
        <w:rPr>
          <w:bCs/>
          <w:b/>
        </w:rPr>
        <w:t xml:space="preserve">Antibiotic disposition (request/handoff item #6):</w:t>
      </w:r>
      <w:r>
        <w:t xml:space="preserve"> </w:t>
      </w:r>
      <w:r>
        <w:t xml:space="preserve">Empiric</w:t>
      </w:r>
      <w:r>
        <w:t xml:space="preserve"> </w:t>
      </w:r>
      <w:r>
        <w:rPr>
          <w:bCs/>
          <w:b/>
        </w:rPr>
        <w:t xml:space="preserve">ceftriaxone 1 g IV q24h HD1–HD3</w:t>
      </w:r>
      <w:r>
        <w:t xml:space="preserve">, stepped down to</w:t>
      </w:r>
      <w:r>
        <w:t xml:space="preserve"> </w:t>
      </w:r>
      <w:r>
        <w:rPr>
          <w:bCs/>
          <w:b/>
        </w:rPr>
        <w:t xml:space="preserve">cefpodoxime 200 mg PO BID from HD4</w:t>
      </w:r>
      <w:r>
        <w:t xml:space="preserve">, with clinical resolution (afebrile since HD3, WBC 9.4, symptoms resolved). No final urine-culture speciation/sensitivity is documented in the record.</w:t>
      </w:r>
    </w:p>
    <w:p>
      <w:pPr>
        <w:pStyle w:val="BlockText"/>
      </w:pPr>
      <w:r>
        <w:rPr>
          <w:bCs/>
          <w:b/>
        </w:rPr>
        <w:t xml:space="preserve">Recommendation — option (b): complete a short, defined ORAL course with a named stop date.</w:t>
      </w:r>
      <w:r>
        <w:t xml:space="preserve"> </w:t>
      </w:r>
      <w:r>
        <w:t xml:space="preserve">Continue</w:t>
      </w:r>
      <w:r>
        <w:t xml:space="preserve"> </w:t>
      </w:r>
      <w:r>
        <w:rPr>
          <w:bCs/>
          <w:b/>
        </w:rPr>
        <w:t xml:space="preserve">cefpodoxime 200 mg PO BID to complete a 7-day oral course counting from the HD4 (05/21) switch → STOP after the evening dose on 05/27/2026</w:t>
      </w:r>
      <w:r>
        <w:t xml:space="preserve"> </w:t>
      </w:r>
      <w:r>
        <w:t xml:space="preserve">(i.e., ~3–4 additional days post-discharge). Rationale: treating urinary-source sepsis physiology (not simple cystitis) in a diabetic CKD patient favors completing a defined total course over same-day cessation; a discrete stop date prevents an open-ended outpatient antibiotic.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t xml:space="preserve">a resulted culture/sensitivity is located before discharge, reconcile agent/duration to it and amend this instruction. This is the one inpatient-initiated agent that is</w:t>
      </w:r>
      <w:r>
        <w:t xml:space="preserve"> </w:t>
      </w:r>
      <w:r>
        <w:rPr>
          <w:iCs/>
          <w:i/>
        </w:rPr>
        <w:t xml:space="preserve">intended</w:t>
      </w:r>
      <w:r>
        <w:t xml:space="preserve"> </w:t>
      </w:r>
      <w:r>
        <w:t xml:space="preserve">to carry forward briefly — with an explicit stop date so it does not become a chronic medication.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29c393c08cc16f1906e9665df3842941b4d787d"/>
    <w:p>
      <w:pPr>
        <w:pStyle w:val="Heading2"/>
      </w:pPr>
      <w:r>
        <w:t xml:space="preserve">HOME MEDICATION-MANAGEMENT SAFETY PLAN (request item #5; handoff item #4)</w:t>
      </w:r>
    </w:p>
    <w:p>
      <w:pPr>
        <w:pStyle w:val="FirstParagraph"/>
      </w:pPr>
      <w:r>
        <w:t xml:space="preserve">This regimen is complex (≈18 active scheduled/PRN items plus prednisone), layered with</w:t>
      </w:r>
      <w:r>
        <w:t xml:space="preserve"> </w:t>
      </w:r>
      <w:r>
        <w:rPr>
          <w:bCs/>
          <w:b/>
        </w:rPr>
        <w:t xml:space="preserve">new held-and-not-restarted</w:t>
      </w:r>
      <w:r>
        <w:t xml:space="preserve"> </w:t>
      </w:r>
      <w:r>
        <w:t xml:space="preserve">agents and a</w:t>
      </w:r>
      <w:r>
        <w:t xml:space="preserve"> </w:t>
      </w:r>
      <w:r>
        <w:rPr>
          <w:bCs/>
          <w:b/>
        </w:rPr>
        <w:t xml:space="preserve">changed prednisone handling</w:t>
      </w:r>
      <w:r>
        <w:t xml:space="preserve"> </w:t>
      </w:r>
      <w:r>
        <w:t xml:space="preserve">instruction, in a patient with documented, reproducible medication-management deficits and high fall risk.</w:t>
      </w:r>
    </w:p>
    <w:p>
      <w:pPr>
        <w:pStyle w:val="BodyText"/>
      </w:pPr>
      <w:r>
        <w:rPr>
          <w:bCs/>
          <w:b/>
        </w:rPr>
        <w:t xml:space="preserve">Documented risk substrate:</w:t>
      </w:r>
      <w:r>
        <w:t xml:space="preserve"> </w:t>
      </w:r>
      <w:r>
        <w:t xml:space="preserve">OT found the patient</w:t>
      </w:r>
      <w:r>
        <w:t xml:space="preserve"> </w:t>
      </w:r>
      <w:r>
        <w:rPr>
          <w:bCs/>
          <w:b/>
        </w:rPr>
        <w:t xml:space="preserve">could not reliably organize his 19-item regimen</w:t>
      </w:r>
      <w:r>
        <w:t xml:space="preserve"> </w:t>
      </w:r>
      <w:r>
        <w:t xml:space="preserve">— errors clustered at</w:t>
      </w:r>
      <w:r>
        <w:t xml:space="preserve"> </w:t>
      </w:r>
      <w:r>
        <w:rPr>
          <w:bCs/>
          <w:b/>
        </w:rPr>
        <w:t xml:space="preserve">BID timing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PRN-vs-scheduled</w:t>
      </w:r>
      <w:r>
        <w:t xml:space="preserve"> </w:t>
      </w:r>
      <w:r>
        <w:t xml:space="preserve">distinction, reproducible across sessions, and</w:t>
      </w:r>
      <w:r>
        <w:t xml:space="preserve"> </w:t>
      </w:r>
      <w:r>
        <w:rPr>
          <w:bCs/>
          <w:b/>
        </w:rPr>
        <w:t xml:space="preserve">he does not self-detect errors in real time</w:t>
      </w:r>
      <w:r>
        <w:t xml:space="preserve">; he could not state recent dose changes or the prednisone taper. Nursing repeatedly recorded</w:t>
      </w:r>
      <w:r>
        <w:t xml:space="preserve"> </w:t>
      </w:r>
      <w:r>
        <w:t xml:space="preserve">“</w:t>
      </w:r>
      <w:r>
        <w:t xml:space="preserve">I think so</w:t>
      </w:r>
      <w:r>
        <w:t xml:space="preserve">”</w:t>
      </w:r>
      <w:r>
        <w:t xml:space="preserve"> </w:t>
      </w:r>
      <w:r>
        <w:t xml:space="preserve">when he was asked whether a dose was taken. PT:</w:t>
      </w:r>
      <w:r>
        <w:t xml:space="preserve"> </w:t>
      </w:r>
      <w:r>
        <w:rPr>
          <w:bCs/>
          <w:b/>
        </w:rPr>
        <w:t xml:space="preserve">Morse 65, high fall risk, orthostatic vulnerability, rolling walker</w:t>
      </w:r>
      <w:r>
        <w:t xml:space="preserve"> </w:t>
      </w:r>
      <w:r>
        <w:t xml:space="preserve">— directly relevant given the hemodynamically active held/continued agents (carvedilol, the held diuretic/RAAS agents) and</w:t>
      </w:r>
      <w:r>
        <w:t xml:space="preserve"> </w:t>
      </w:r>
      <w:r>
        <w:rPr>
          <w:bCs/>
          <w:b/>
        </w:rPr>
        <w:t xml:space="preserve">gabapentin</w:t>
      </w:r>
      <w:r>
        <w:t xml:space="preserve"> </w:t>
      </w:r>
      <w:r>
        <w:t xml:space="preserve">sedation/fall-risk. Baseline cognition is only mild forgetfulness, so this is a true deviation. Caregiver: wife Mara (proxy) engaged but capacity-limited; daughter Lenora covers weekend days/transport but</w:t>
      </w:r>
      <w:r>
        <w:t xml:space="preserve"> </w:t>
      </w:r>
      <w:r>
        <w:rPr>
          <w:bCs/>
          <w:b/>
        </w:rPr>
        <w:t xml:space="preserve">not weekday mornings</w:t>
      </w:r>
      <w:r>
        <w:t xml:space="preserve"> </w:t>
      </w:r>
      <w:r>
        <w:t xml:space="preserve">— a named supervision gap.</w:t>
      </w:r>
    </w:p>
    <w:p>
      <w:pPr>
        <w:pStyle w:val="BodyText"/>
      </w:pPr>
      <w:r>
        <w:rPr>
          <w:bCs/>
          <w:b/>
        </w:rPr>
        <w:t xml:space="preserve">Plan: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Pre-filled weekly pill organizer, filled by the caregiver (not the patient alone)</w:t>
      </w:r>
      <w:r>
        <w:t xml:space="preserve"> </w:t>
      </w:r>
      <w:r>
        <w:t xml:space="preserve">for at least the first weeks (OT). Discard/sequester older prednisone bottles (10 mg;</w:t>
      </w:r>
      <w:r>
        <w:t xml:space="preserve"> </w:t>
      </w:r>
      <w:r>
        <w:t xml:space="preserve">“</w:t>
      </w:r>
      <w:r>
        <w:t xml:space="preserve">½ tablet</w:t>
      </w:r>
      <w:r>
        <w:t xml:space="preserve">”</w:t>
      </w:r>
      <w:r>
        <w:t xml:space="preserve">) so only the single current instruction is in the home.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Family-supervised administration with daily check-in at medication times for the first 5–7 days, verifying the dose was actually taken</w:t>
      </w:r>
      <w:r>
        <w:t xml:space="preserve"> </w:t>
      </w:r>
      <w:r>
        <w:t xml:space="preserve">(OT) — overnight + AM + PM coverage explicitly assigned among Mara/Lenora, with the weekday-morning gap named and solved before discharge.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Home health nursing for early post-discharge medication review</w:t>
      </w:r>
      <w:r>
        <w:t xml:space="preserve"> </w:t>
      </w:r>
      <w:r>
        <w:t xml:space="preserve">(Case Management — Keystone HomeCare candidate); confirm acceptance before discharge. Single accountable owner for the teach-back session to be named.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One consolidated written medication list</w:t>
      </w:r>
      <w:r>
        <w:t xml:space="preserve"> </w:t>
      </w:r>
      <w:r>
        <w:t xml:space="preserve">distinguishing CONTINUED / HELD-with-restart-parameters / STOPPED (inpatient-only) / PRN, with the antibiotic stop date and the prednisone bridge explicitly stated. Avoid the patient bearing sole responsibility for any new/changed medication during the early window (OT).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Environment/device:</w:t>
      </w:r>
      <w:r>
        <w:t xml:space="preserve"> </w:t>
      </w:r>
      <w:r>
        <w:t xml:space="preserve">rolling walker (not intermittent cane), bedside commode initially given evening confusion + nocturia, bathroom grab bars, remove loose rugs, supervised mobility 5–7 days (PT).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NSAID avoidance</w:t>
      </w:r>
      <w:r>
        <w:t xml:space="preserve"> </w:t>
      </w:r>
      <w:r>
        <w:t xml:space="preserve">at home and renal-dose review of any new prescription (Nephrology).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Pharmacy logistics:</w:t>
      </w:r>
      <w:r>
        <w:t xml:space="preserve"> </w:t>
      </w:r>
      <w:r>
        <w:t xml:space="preserve">Harbor Crest Community Pharmacy (412) 555-0490 — coordinate first-fill timing for the prednisone continuation and the short antibiotic course; confirm no duplicate/obsolete prednisone fills are dispensed.</w:t>
      </w:r>
    </w:p>
    <w:p>
      <w:r>
        <w:pict>
          <v:rect style="width:0;height:1.5pt" o:hralign="center" o:hrstd="t" o:hr="t"/>
        </w:pict>
      </w:r>
    </w:p>
    <w:bookmarkEnd w:id="26"/>
    <w:bookmarkStart w:id="27" w:name="X5ff606856b4e37ef0a05c7b1118d84d12450641"/>
    <w:p>
      <w:pPr>
        <w:pStyle w:val="Heading2"/>
      </w:pPr>
      <w:r>
        <w:t xml:space="preserve">POST-DISCHARGE RENAL &amp; CARDIAC MONITORING PLAN (handoff item #5)</w:t>
      </w:r>
    </w:p>
    <w:p>
      <w:pPr>
        <w:pStyle w:val="FirstParagraph"/>
      </w:pPr>
      <w:r>
        <w:t xml:space="preserve">The trend summary flags that</w:t>
      </w:r>
      <w:r>
        <w:t xml:space="preserve"> </w:t>
      </w:r>
      <w:r>
        <w:rPr>
          <w:bCs/>
          <w:b/>
        </w:rPr>
        <w:t xml:space="preserve">no scheduled post-discharge monitoring plan exists</w:t>
      </w:r>
      <w:r>
        <w:t xml:space="preserve">; one is specified 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Labs:</w:t>
      </w:r>
      <w:r>
        <w:t xml:space="preserve"> </w:t>
      </w:r>
      <w:r>
        <w:rPr>
          <w:bCs/>
          <w:b/>
        </w:rPr>
        <w:t xml:space="preserve">BMP (creatinine/eGFR and potassium) within 3–5 days of discharge</w:t>
      </w:r>
      <w:r>
        <w:t xml:space="preserve">, at Mercy Vale Outpatient Laboratory — Harbor Crest, (412) 555-0455. Repeat</w:t>
      </w:r>
      <w:r>
        <w:t xml:space="preserve"> </w:t>
      </w:r>
      <w:r>
        <w:rPr>
          <w:bCs/>
          <w:b/>
        </w:rPr>
        <w:t xml:space="preserve">BMP within 48–72 h after ANY cardiorenal agent is restarted.</w:t>
      </w:r>
      <w:r>
        <w:t xml:space="preserve"> </w:t>
      </w:r>
      <w:r>
        <w:t xml:space="preserve">Check hemoglobin at PCP visit (anemia of CKD).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Home weights:</w:t>
      </w:r>
      <w:r>
        <w:t xml:space="preserve"> </w:t>
      </w:r>
      <w:r>
        <w:t xml:space="preserve">daily AM weight against the</w:t>
      </w:r>
      <w:r>
        <w:t xml:space="preserve"> </w:t>
      </w:r>
      <w:r>
        <w:rPr>
          <w:bCs/>
          <w:b/>
        </w:rPr>
        <w:t xml:space="preserve">97 kg dry-weight baseline</w:t>
      </w:r>
      <w:r>
        <w:t xml:space="preserve">; contact clinician for</w:t>
      </w:r>
      <w:r>
        <w:t xml:space="preserve"> </w:t>
      </w:r>
      <w:r>
        <w:rPr>
          <w:bCs/>
          <w:b/>
        </w:rPr>
        <w:t xml:space="preserve">gain &gt; ~1.5–2 kg in 2 days</w:t>
      </w:r>
      <w:r>
        <w:t xml:space="preserve"> </w:t>
      </w:r>
      <w:r>
        <w:t xml:space="preserve">or new edema/orthopnea/exertional dyspnea (HFrEF decompensation).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BP/HR parameters:</w:t>
      </w:r>
      <w:r>
        <w:t xml:space="preserve"> </w:t>
      </w:r>
      <w:r>
        <w:t xml:space="preserve">recheck orthostatics;</w:t>
      </w:r>
      <w:r>
        <w:t xml:space="preserve"> </w:t>
      </w:r>
      <w:r>
        <w:rPr>
          <w:bCs/>
          <w:b/>
        </w:rPr>
        <w:t xml:space="preserve">call for SBP &lt; 100 mmHg, symptomatic lightheadedness, or near-fall</w:t>
      </w:r>
      <w:r>
        <w:t xml:space="preserve"> </w:t>
      </w:r>
      <w:r>
        <w:t xml:space="preserve">(carvedilol hold-and-call trigger) — equally important because the four BP-active agents remain held.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Accountable receivers:</w:t>
      </w:r>
      <w:r>
        <w:t xml:space="preserve"> </w:t>
      </w:r>
      <w:r>
        <w:t xml:space="preserve">BMP and weights routed to</w:t>
      </w:r>
      <w:r>
        <w:t xml:space="preserve"> </w:t>
      </w:r>
      <w:r>
        <w:rPr>
          <w:bCs/>
          <w:b/>
        </w:rPr>
        <w:t xml:space="preserve">PCP (Quenor, within 7 days)</w:t>
      </w:r>
      <w:r>
        <w:t xml:space="preserve">; restart-titration labs/BP to</w:t>
      </w:r>
      <w:r>
        <w:t xml:space="preserve"> </w:t>
      </w:r>
      <w:r>
        <w:rPr>
          <w:bCs/>
          <w:b/>
        </w:rPr>
        <w:t xml:space="preserve">Cardiology (Caldrane, within 2 weeks)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Nephrology (Solthar, within 1–2 weeks; earlier if any restart is initiated)</w:t>
      </w:r>
      <w:r>
        <w:t xml:space="preserve">. Glycemic/steroid review with</w:t>
      </w:r>
      <w:r>
        <w:t xml:space="preserve"> </w:t>
      </w:r>
      <w:r>
        <w:rPr>
          <w:bCs/>
          <w:b/>
        </w:rPr>
        <w:t xml:space="preserve">Endocrinology (2–4 wks)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Rheumatology (Halvek, 2–4 wks)</w:t>
      </w:r>
      <w:r>
        <w:t xml:space="preserve">.</w:t>
      </w:r>
      <w:r>
        <w:t xml:space="preserve"> </w:t>
      </w:r>
      <w:r>
        <w:rPr>
          <w:bCs/>
          <w:b/>
        </w:rPr>
        <w:t xml:space="preserve">Transportation and outpatient-lab logistics are unconfirmed per Case Management and must be closed before discharge</w:t>
      </w:r>
      <w:r>
        <w:t xml:space="preserve"> </w:t>
      </w:r>
      <w:r>
        <w:t xml:space="preserve">or the monitoring plan fails.</w:t>
      </w:r>
    </w:p>
    <w:p>
      <w:r>
        <w:pict>
          <v:rect style="width:0;height:1.5pt" o:hralign="center" o:hrstd="t" o:hr="t"/>
        </w:pict>
      </w:r>
    </w:p>
    <w:bookmarkEnd w:id="27"/>
    <w:bookmarkStart w:id="28" w:name="X99cd729302f32a467323bb03732eceb141da8da"/>
    <w:p>
      <w:pPr>
        <w:pStyle w:val="Heading2"/>
      </w:pPr>
      <w:r>
        <w:t xml:space="preserve">TEACH-BACK RECOMMENDATIONS — patient + primary caregiver (request item #6)</w:t>
      </w:r>
    </w:p>
    <w:p>
      <w:pPr>
        <w:pStyle w:val="FirstParagraph"/>
      </w:pPr>
      <w:r>
        <w:t xml:space="preserve">Conduct with Mara present (Lenora by phone), teach-back confirmation at the session</w:t>
      </w:r>
      <w:r>
        <w:t xml:space="preserve"> </w:t>
      </w:r>
      <w:r>
        <w:rPr>
          <w:bCs/>
          <w:b/>
        </w:rPr>
        <w:t xml:space="preserve">and again at ~24 h</w:t>
      </w:r>
      <w:r>
        <w:t xml:space="preserve">; map directly to the family’s five recorded pre-discharge questions.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Changed items:</w:t>
      </w:r>
      <w:r>
        <w:t xml:space="preserve"> </w:t>
      </w:r>
      <w:r>
        <w:t xml:space="preserve">carvedilol is back on; glargine is back to the usual 18 units. Organize by AM / PM / nightly / weekly / PRN; have the caregiver teach</w:t>
      </w:r>
      <w:r>
        <w:t xml:space="preserve"> </w:t>
      </w:r>
      <w:r>
        <w:rPr>
          <w:bCs/>
          <w:b/>
        </w:rPr>
        <w:t xml:space="preserve">back the BID vs PRN distinction</w:t>
      </w:r>
      <w:r>
        <w:t xml:space="preserve"> </w:t>
      </w:r>
      <w:r>
        <w:t xml:space="preserve">(the specific OT-identified failure point).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Held-and-not-yet-restarted items:</w:t>
      </w:r>
      <w:r>
        <w:t xml:space="preserve"> </w:t>
      </w:r>
      <w:r>
        <w:t xml:space="preserve">sacubitril/valsartan, spironolactone, empagliflozin, and furosemide are</w:t>
      </w:r>
      <w:r>
        <w:t xml:space="preserve"> </w:t>
      </w:r>
      <w:r>
        <w:rPr>
          <w:bCs/>
          <w:b/>
        </w:rPr>
        <w:t xml:space="preserve">deliberately paused</w:t>
      </w:r>
      <w:r>
        <w:t xml:space="preserve"> </w:t>
      </w:r>
      <w:r>
        <w:t xml:space="preserve">and will be</w:t>
      </w:r>
      <w:r>
        <w:t xml:space="preserve"> </w:t>
      </w:r>
      <w:r>
        <w:rPr>
          <w:bCs/>
          <w:b/>
        </w:rPr>
        <w:t xml:space="preserve">restarted one at a time by the heart/kidney doctors after lab checks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do not restart these on your own.</w:t>
      </w:r>
      <w:r>
        <w:t xml:space="preserve">”</w:t>
      </w:r>
      <w:r>
        <w:t xml:space="preserve"> </w:t>
      </w:r>
      <w:r>
        <w:t xml:space="preserve">Explain heart and kidney meds</w:t>
      </w:r>
      <w:r>
        <w:t xml:space="preserve"> </w:t>
      </w:r>
      <w:r>
        <w:rPr>
          <w:bCs/>
          <w:b/>
        </w:rPr>
        <w:t xml:space="preserve">together</w:t>
      </w:r>
      <w:r>
        <w:t xml:space="preserve">, as Mara requested.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Prednisone:</w:t>
      </w:r>
      <w:r>
        <w:t xml:space="preserve"> </w:t>
      </w:r>
      <w:r>
        <w:t xml:space="preserve">take the single current daily dose</w:t>
      </w:r>
      <w:r>
        <w:t xml:space="preserve"> </w:t>
      </w:r>
      <w:r>
        <w:rPr>
          <w:bCs/>
          <w:b/>
        </w:rPr>
        <w:t xml:space="preserve">every day without stopping</w:t>
      </w:r>
      <w:r>
        <w:t xml:space="preserve">; use only the one current bottle (remove the older/</w:t>
      </w:r>
      <w:r>
        <w:t xml:space="preserve">“</w:t>
      </w:r>
      <w:r>
        <w:t xml:space="preserve">½-tablet</w:t>
      </w:r>
      <w:r>
        <w:t xml:space="preserve">”</w:t>
      </w:r>
      <w:r>
        <w:t xml:space="preserve"> </w:t>
      </w:r>
      <w:r>
        <w:t xml:space="preserve">bottles); the</w:t>
      </w:r>
      <w:r>
        <w:t xml:space="preserve"> </w:t>
      </w:r>
      <w:r>
        <w:rPr>
          <w:bCs/>
          <w:b/>
        </w:rPr>
        <w:t xml:space="preserve">rheumatologist will set the taper</w:t>
      </w:r>
      <w:r>
        <w:t xml:space="preserve"> </w:t>
      </w:r>
      <w:r>
        <w:t xml:space="preserve">— do not change or stop it on your own.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Glycemic regimen:</w:t>
      </w:r>
      <w:r>
        <w:t xml:space="preserve"> </w:t>
      </w:r>
      <w:r>
        <w:t xml:space="preserve">18 units glargine nightly; the inpatient mealtime sliding-scale insulin is</w:t>
      </w:r>
      <w:r>
        <w:t xml:space="preserve"> </w:t>
      </w:r>
      <w:r>
        <w:rPr>
          <w:bCs/>
          <w:b/>
        </w:rPr>
        <w:t xml:space="preserve">stopped</w:t>
      </w:r>
      <w:r>
        <w:t xml:space="preserve">; bring the glucose log to PCP/Endo.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Prednisone sick-day/stress rule:</w:t>
      </w:r>
      <w:r>
        <w:t xml:space="preserve"> </w:t>
      </w:r>
      <w:r>
        <w:t xml:space="preserve">with fever, persistent vomiting, or significant dehydration,</w:t>
      </w:r>
      <w:r>
        <w:t xml:space="preserve"> </w:t>
      </w:r>
      <w:r>
        <w:rPr>
          <w:bCs/>
          <w:b/>
        </w:rPr>
        <w:t xml:space="preserve">do not stop the steroid</w:t>
      </w:r>
      <w:r>
        <w:t xml:space="preserve"> </w:t>
      </w:r>
      <w:r>
        <w:t xml:space="preserve">— call the physician promptly for stress-dose guidance (Endocrinology).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Warning signs → who to call:</w:t>
      </w:r>
      <w:r>
        <w:t xml:space="preserve"> </w:t>
      </w:r>
      <w:r>
        <w:t xml:space="preserve">return/call for fever, worsening weakness or new confusion, recurrent lightheadedness or near-fall, chest pain, shortness of breath, weight gain/edema, or decreased intake. Routine → PCP/specialty clinic; urgent/red-flag → ED or (412) 555-0150. Confirm the caregiver can state at least three red flags back.</w:t>
      </w:r>
    </w:p>
    <w:p>
      <w:r>
        <w:pict>
          <v:rect style="width:0;height:1.5pt" o:hralign="center" o:hrstd="t" o:hr="t"/>
        </w:pict>
      </w:r>
    </w:p>
    <w:bookmarkEnd w:id="28"/>
    <w:bookmarkStart w:id="29" w:name="Xdd14045bf98aa4861d78655610623ff9fa66368"/>
    <w:p>
      <w:pPr>
        <w:pStyle w:val="Heading2"/>
      </w:pPr>
      <w:r>
        <w:t xml:space="preserve">OPEN ITEMS TO CLOSE BEFORE THE DISCHARGE ORDER IS WRITTEN</w:t>
      </w:r>
    </w:p>
    <w:p>
      <w:pPr>
        <w:numPr>
          <w:ilvl w:val="0"/>
          <w:numId w:val="1005"/>
        </w:numPr>
        <w:pStyle w:val="Compact"/>
      </w:pPr>
      <w:r>
        <w:t xml:space="preserve">Final cardiorenal restart instructions written against the day-of parameter values (none restarted as of HD6 18:00 except carvedilol).</w:t>
      </w:r>
    </w:p>
    <w:p>
      <w:pPr>
        <w:numPr>
          <w:ilvl w:val="0"/>
          <w:numId w:val="1005"/>
        </w:numPr>
        <w:pStyle w:val="Compact"/>
      </w:pPr>
      <w:r>
        <w:t xml:space="preserve">Prednisone continuation prescription issued as a single unambiguous dose; obsolete bottles reconciled; rheumatology follow-up booked.</w:t>
      </w:r>
    </w:p>
    <w:p>
      <w:pPr>
        <w:numPr>
          <w:ilvl w:val="0"/>
          <w:numId w:val="1005"/>
        </w:numPr>
        <w:pStyle w:val="Compact"/>
      </w:pPr>
      <w:r>
        <w:t xml:space="preserve">Antibiotic stop date confirmed (and reconciled to culture data if resulted).</w:t>
      </w:r>
    </w:p>
    <w:p>
      <w:pPr>
        <w:numPr>
          <w:ilvl w:val="0"/>
          <w:numId w:val="1005"/>
        </w:numPr>
        <w:pStyle w:val="Compact"/>
      </w:pPr>
      <w:r>
        <w:t xml:space="preserve">Home health acceptance, DME delivery (walker/commode/grab bars), transportation, and outpatient-lab logistics confirmed (Case Management).</w:t>
      </w:r>
    </w:p>
    <w:p>
      <w:pPr>
        <w:numPr>
          <w:ilvl w:val="0"/>
          <w:numId w:val="1005"/>
        </w:numPr>
        <w:pStyle w:val="Compact"/>
      </w:pPr>
      <w:r>
        <w:t xml:space="preserve">Named owner for the family teach-back session; supervision windows (incl. weekday AM gap) assigned.</w:t>
      </w:r>
    </w:p>
    <w:p>
      <w:r>
        <w:pict>
          <v:rect style="width:0;height:1.5pt" o:hralign="center" o:hrstd="t" o:hr="t"/>
        </w:pict>
      </w:r>
    </w:p>
    <w:bookmarkEnd w:id="29"/>
    <w:bookmarkStart w:id="30" w:name="co-signature"/>
    <w:p>
      <w:pPr>
        <w:pStyle w:val="Heading2"/>
      </w:pPr>
      <w:r>
        <w:t xml:space="preserve">CO-SIGNATURE</w:t>
      </w:r>
    </w:p>
    <w:p>
      <w:pPr>
        <w:pStyle w:val="FirstParagraph"/>
      </w:pPr>
      <w:r>
        <w:t xml:space="preserve">This reconciliation note is submitted for co-signature and release with the discharge paperwork. Page Pharmacy (412) 555-0170 or Hospital Medicine (412) 555-0301 with questions.</w:t>
      </w:r>
    </w:p>
    <w:p>
      <w:pPr>
        <w:pStyle w:val="BodyText"/>
      </w:pPr>
      <w:r>
        <w:t xml:space="preserve">Reviewing Pharmacist: ________________________________ Date/Time: __________</w:t>
      </w:r>
    </w:p>
    <w:p>
      <w:pPr>
        <w:pStyle w:val="BodyText"/>
      </w:pPr>
      <w:r>
        <w:t xml:space="preserve">Covering Hospitalist: ________________________________ Date/Time: __________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2026-06-06T01:20:33Z</dcterms:created>
  <dcterms:modified xsi:type="dcterms:W3CDTF">2026-06-06T01:20:33Z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