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Summary</w:t>
            </w:r>
          </w:p>
        </w:tc>
      </w:tr>
    </w:tbl>
    <w:p>
      <w:pPr>
        <w:spacing w:after="40" w:before="0"/>
      </w:pPr>
      <w:r>
        <w:rPr>
          <w:rFonts w:ascii="Arial" w:hAnsi="Arial" w:eastAsia="Arial"/>
          <w:b/>
          <w:i w:val="0"/>
          <w:color w:val="1F3864"/>
          <w:sz w:val="28"/>
        </w:rPr>
        <w:t>DISCHARGE SUMMARY</w:t>
      </w:r>
    </w:p>
    <w:p>
      <w:pPr>
        <w:spacing w:after="160" w:before="0"/>
      </w:pPr>
      <w:r>
        <w:rPr>
          <w:rFonts w:ascii="Arial" w:hAnsi="Arial" w:eastAsia="Arial"/>
          <w:b w:val="0"/>
          <w:i w:val="0"/>
          <w:color w:val="5E6670"/>
          <w:sz w:val="16"/>
        </w:rPr>
        <w:t>Author: Elian Vossmere, MD  |  Department: Hospital Medicine  |  Date of Service: 05/24/2026  |  Status: Final — for sign-out</w:t>
      </w:r>
    </w:p>
    <w:p>
      <w:pPr>
        <w:spacing w:after="160" w:before="0"/>
      </w:pPr>
      <w:r>
        <w:rPr>
          <w:rFonts w:ascii="Arial" w:hAnsi="Arial" w:eastAsia="Arial"/>
          <w:b/>
          <w:i w:val="0"/>
          <w:color w:val="232830"/>
          <w:sz w:val="19"/>
        </w:rPr>
        <w:t>Admitted: 05/18/2026 (HD1)    |    Discharged: 05/24/2026    |    Discharge disposition: Home with home health services</w:t>
      </w:r>
    </w:p>
    <w:p>
      <w:pPr>
        <w:spacing w:after="60" w:before="160"/>
      </w:pPr>
      <w:r>
        <w:rPr>
          <w:rFonts w:ascii="Arial" w:hAnsi="Arial" w:eastAsia="Arial"/>
          <w:b/>
          <w:i w:val="0"/>
          <w:color w:val="4472C4"/>
          <w:sz w:val="20"/>
        </w:rPr>
        <w:t>PREPARER NOTE</w:t>
      </w:r>
    </w:p>
    <w:p>
      <w:pPr>
        <w:spacing w:after="120" w:before="0"/>
      </w:pPr>
      <w:r>
        <w:rPr>
          <w:rFonts w:ascii="Arial" w:hAnsi="Arial" w:eastAsia="Arial"/>
          <w:b w:val="0"/>
          <w:i w:val="0"/>
          <w:color w:val="232830"/>
          <w:sz w:val="19"/>
        </w:rPr>
        <w:t>This summary was completed from the medical record on the day of discharge (05/24/2026). The attending's working draft was begun earlier the same day and left incomplete when he was called to a rapid response. The open sections (discharge diagnoses, discharge medications, and follow-up) have been completed from the chart, the clinical course narrative has been reconciled against the source documentation, and the document has been placed in final form for attending review and signature before sign-out. Two items are flagged explicitly below for confirmation at signing (the urine culture result and the antibiotic end date); neither changes the discharge plan.</w:t>
      </w:r>
    </w:p>
    <w:p>
      <w:pPr>
        <w:spacing w:after="60" w:before="160"/>
      </w:pPr>
      <w:r>
        <w:rPr>
          <w:rFonts w:ascii="Arial" w:hAnsi="Arial" w:eastAsia="Arial"/>
          <w:b/>
          <w:i w:val="0"/>
          <w:color w:val="4472C4"/>
          <w:sz w:val="20"/>
        </w:rPr>
        <w:t>REASON FOR ADMISSION / CHIEF COMPLAINT</w:t>
      </w:r>
    </w:p>
    <w:p>
      <w:pPr>
        <w:spacing w:after="120" w:before="0"/>
      </w:pPr>
      <w:r>
        <w:rPr>
          <w:rFonts w:ascii="Arial" w:hAnsi="Arial" w:eastAsia="Arial"/>
          <w:b w:val="0"/>
          <w:i w:val="0"/>
          <w:color w:val="232830"/>
          <w:sz w:val="19"/>
        </w:rPr>
        <w:t>62-year-old man with HFrEF, CAD status post remote PCI/drug-eluting stent (mid-LAD, 09/12/2018), CKD stage 3, type 2 diabetes mellitus, and polymyalgia rheumatica on chronic prednisone of uncertain taper, admitted 05/18/2026 after approximately three weeks of progressive decline — weakness, poor oral intake, reduced fluid intake, lightheadedness with a near-fall at home on 05/17/2026, and family-observed evening confusion. Presentation was consistent with a suspected urinary-source infection with sepsis physiology superimposed on a mixed cardiorenal/steroid-exposure background.</w:t>
      </w:r>
    </w:p>
    <w:p>
      <w:pPr>
        <w:spacing w:after="60" w:before="160"/>
      </w:pPr>
      <w:r>
        <w:rPr>
          <w:rFonts w:ascii="Arial" w:hAnsi="Arial" w:eastAsia="Arial"/>
          <w:b/>
          <w:i w:val="0"/>
          <w:color w:val="4472C4"/>
          <w:sz w:val="20"/>
        </w:rPr>
        <w:t>HOSPITAL COURSE BY PROBLEM</w:t>
      </w:r>
    </w:p>
    <w:p>
      <w:pPr>
        <w:spacing w:after="80" w:before="0"/>
      </w:pPr>
      <w:r>
        <w:rPr>
          <w:rFonts w:ascii="Arial" w:hAnsi="Arial" w:eastAsia="Arial"/>
          <w:b w:val="0"/>
          <w:i w:val="0"/>
          <w:color w:val="232830"/>
          <w:sz w:val="19"/>
        </w:rPr>
        <w:t>Mr. Merrow was admitted to Hospital Medicine (attending E. Vossmere, MD) and treated for suspected urinary-source infection with careful attention to his HFrEF and CKD. He improved steadily across a six-day course and was afebrile with renal function returned to his known baseline by HD6. Summary by problem:</w:t>
      </w:r>
    </w:p>
    <w:p>
      <w:pPr>
        <w:spacing w:after="40" w:before="0"/>
        <w:ind w:left="240"/>
      </w:pPr>
      <w:r>
        <w:rPr>
          <w:rFonts w:ascii="Arial" w:hAnsi="Arial" w:eastAsia="Arial"/>
          <w:b w:val="0"/>
          <w:i w:val="0"/>
          <w:color w:val="232830"/>
          <w:sz w:val="19"/>
        </w:rPr>
        <w:t xml:space="preserve">1. </w:t>
      </w:r>
      <w:r>
        <w:rPr>
          <w:rFonts w:ascii="Arial" w:hAnsi="Arial" w:eastAsia="Arial"/>
          <w:b/>
          <w:i w:val="0"/>
          <w:color w:val="232830"/>
          <w:sz w:val="19"/>
        </w:rPr>
        <w:t xml:space="preserve">Suspected urinary-source infection / urosepsis — resolved. </w:t>
      </w:r>
      <w:r>
        <w:rPr>
          <w:rFonts w:ascii="Arial" w:hAnsi="Arial" w:eastAsia="Arial"/>
          <w:b w:val="0"/>
          <w:i w:val="0"/>
          <w:color w:val="232830"/>
          <w:sz w:val="19"/>
        </w:rPr>
        <w:t>Started on empiric ceftriaxone 1 g IV q24h on HD1 (urine and blood cultures obtained before the first dose), with defervescence and a fall in WBC from 15.6 to 9.4 k/µL. Oral step-down to cefpodoxime 200 mg PO BID was made on HD4. The infection resolved by clinical and laboratory criteria. [CONFIRM AT SIGNING: the chart documents urinalysis with pyuria/positive leukocyte esterase/bacteriuria and “preliminary growth pending speciation”; a final organism and susceptibility result was not available in the record at the time of preparation — verify the final culture/sensitivity and enter it here. Also confirm the antibiotic stop date / total intended duration, which the MAR flagged as “completion vs continuation to be reconciled at discharge.”]</w:t>
      </w:r>
    </w:p>
    <w:p>
      <w:pPr>
        <w:spacing w:after="40" w:before="0"/>
        <w:ind w:left="240"/>
      </w:pPr>
      <w:r>
        <w:rPr>
          <w:rFonts w:ascii="Arial" w:hAnsi="Arial" w:eastAsia="Arial"/>
          <w:b w:val="0"/>
          <w:i w:val="0"/>
          <w:color w:val="232830"/>
          <w:sz w:val="19"/>
        </w:rPr>
        <w:t xml:space="preserve">2. </w:t>
      </w:r>
      <w:r>
        <w:rPr>
          <w:rFonts w:ascii="Arial" w:hAnsi="Arial" w:eastAsia="Arial"/>
          <w:b/>
          <w:i w:val="0"/>
          <w:color w:val="232830"/>
          <w:sz w:val="19"/>
        </w:rPr>
        <w:t xml:space="preserve">AKI on CKD stage 3 — resolved to baseline by laboratory criteria. </w:t>
      </w:r>
      <w:r>
        <w:rPr>
          <w:rFonts w:ascii="Arial" w:hAnsi="Arial" w:eastAsia="Arial"/>
          <w:b w:val="0"/>
          <w:i w:val="0"/>
          <w:color w:val="232830"/>
          <w:sz w:val="19"/>
        </w:rPr>
        <w:t>Admission creatinine 2.62 mg/dL (baseline 1.6–1.8) with BUN 48 and potassium 5.1, attributed to prerenal physiology from poor intake and infection, with possible contribution from the cardiorenal regimen. Managed with cautious isotonic crystalloid in small reassessed aliquots (mindful of HFrEF) and holding of nephroactive agents. Creatinine trended 2.62 → 2.38 → 2.12 → 1.98 → 1.86 → 1.80 mg/dL, returning to the upper end of baseline with potassium 4.4 by HD6. NSAIDs avoided throughout.</w:t>
      </w:r>
    </w:p>
    <w:p>
      <w:pPr>
        <w:spacing w:after="40" w:before="0"/>
        <w:ind w:left="240"/>
      </w:pPr>
      <w:r>
        <w:rPr>
          <w:rFonts w:ascii="Arial" w:hAnsi="Arial" w:eastAsia="Arial"/>
          <w:b w:val="0"/>
          <w:i w:val="0"/>
          <w:color w:val="232830"/>
          <w:sz w:val="19"/>
        </w:rPr>
        <w:t xml:space="preserve">3. </w:t>
      </w:r>
      <w:r>
        <w:rPr>
          <w:rFonts w:ascii="Arial" w:hAnsi="Arial" w:eastAsia="Arial"/>
          <w:b/>
          <w:i w:val="0"/>
          <w:color w:val="232830"/>
          <w:sz w:val="19"/>
        </w:rPr>
        <w:t xml:space="preserve">HFrEF / CAD — chronic therapy preserved; cardiorenal agents held for staged outpatient restart. </w:t>
      </w:r>
      <w:r>
        <w:rPr>
          <w:rFonts w:ascii="Arial" w:hAnsi="Arial" w:eastAsia="Arial"/>
          <w:b w:val="0"/>
          <w:i w:val="0"/>
          <w:color w:val="232830"/>
          <w:sz w:val="19"/>
        </w:rPr>
        <w:t>Aspirin 81 mg and atorvastatin 40 mg were continued throughout for CAD secondary prevention. Home sacubitril/valsartan, spironolactone, furosemide, and empagliflozin were held during the AKI and hemodynamic vulnerability; carvedilol was cautiously resumed and tolerated at 12.5 mg BID by HD4–HD6 (systolic 114–130). Cardiology (Dr. Caldrane) and Nephrology (Dr. Solthar) followed daily. Both services agree that although the AKI has resolved by laboratory criteria, inpatient floor reserve does not equal home reserve, and the four held agents should be reintroduced in a staged outpatient sequence with close laboratory and blood-pressure monitoring rather than restarted simultaneously at discharge. No held cardiorenal agent was restarted during the hospitalization.</w:t>
      </w:r>
    </w:p>
    <w:p>
      <w:pPr>
        <w:spacing w:after="40" w:before="0"/>
        <w:ind w:left="240"/>
      </w:pPr>
      <w:r>
        <w:rPr>
          <w:rFonts w:ascii="Arial" w:hAnsi="Arial" w:eastAsia="Arial"/>
          <w:b w:val="0"/>
          <w:i w:val="0"/>
          <w:color w:val="232830"/>
          <w:sz w:val="19"/>
        </w:rPr>
        <w:t xml:space="preserve">4. </w:t>
      </w:r>
      <w:r>
        <w:rPr>
          <w:rFonts w:ascii="Arial" w:hAnsi="Arial" w:eastAsia="Arial"/>
          <w:b/>
          <w:i w:val="0"/>
          <w:color w:val="232830"/>
          <w:sz w:val="19"/>
        </w:rPr>
        <w:t xml:space="preserve">Type 2 diabetes mellitus. </w:t>
      </w:r>
      <w:r>
        <w:rPr>
          <w:rFonts w:ascii="Arial" w:hAnsi="Arial" w:eastAsia="Arial"/>
          <w:b w:val="0"/>
          <w:i w:val="0"/>
          <w:color w:val="232830"/>
          <w:sz w:val="19"/>
        </w:rPr>
        <w:t>Home oral agents (metformin ER, empagliflozin) were held for AKI and acute illness. Basal insulin glargine was continued with inpatient titration (down to 12 units during poor intake, back to the home 18 units nightly by HD6), with correctional insulin lispro for inpatient coverage only. Glucose trended down across the stay (140–250 mg/dL by HD6).</w:t>
      </w:r>
    </w:p>
    <w:p>
      <w:pPr>
        <w:spacing w:after="40" w:before="0"/>
        <w:ind w:left="240"/>
      </w:pPr>
      <w:r>
        <w:rPr>
          <w:rFonts w:ascii="Arial" w:hAnsi="Arial" w:eastAsia="Arial"/>
          <w:b w:val="0"/>
          <w:i w:val="0"/>
          <w:color w:val="232830"/>
          <w:sz w:val="19"/>
        </w:rPr>
        <w:t xml:space="preserve">5. </w:t>
      </w:r>
      <w:r>
        <w:rPr>
          <w:rFonts w:ascii="Arial" w:hAnsi="Arial" w:eastAsia="Arial"/>
          <w:b/>
          <w:i w:val="0"/>
          <w:color w:val="232830"/>
          <w:sz w:val="19"/>
        </w:rPr>
        <w:t xml:space="preserve">Polymyalgia rheumatica / chronic prednisone — provenance reconciled, taper deferred to outpatient rheumatology. </w:t>
      </w:r>
      <w:r>
        <w:rPr>
          <w:rFonts w:ascii="Arial" w:hAnsi="Arial" w:eastAsia="Arial"/>
          <w:b w:val="0"/>
          <w:i w:val="0"/>
          <w:color w:val="232830"/>
          <w:sz w:val="19"/>
        </w:rPr>
        <w:t>The current home prednisone dose, taper schedule, and recent adherence could not be verified from inpatient sources. Outpatient rheumatology (Dr. Halvek) documents a cautious slow-taper intent with instruction to avoid abrupt discontinuation but states no fixed numeric dose; pharmacy fill history shows changing strengths and directions over recent months (10 mg → 5 mg → “½ tablet daily,” most recent fill 05/06/2026 at 5 mg with taper-style directions) and cannot establish actual home intake. The patient was maintained on an interim inpatient steroid course without abrupt discontinuation. Endocrinology (Dr. Veylorn) assessed that adrenal insufficiency is not established but that chronic steroid exposure is a real risk substrate; the structured taper is to be finalized in the outpatient setting with rheumatology. No numeric long-term outpatient dose is asserted on this chart.</w:t>
      </w:r>
    </w:p>
    <w:p>
      <w:pPr>
        <w:spacing w:after="40" w:before="0"/>
        <w:ind w:left="240"/>
      </w:pPr>
      <w:r>
        <w:rPr>
          <w:rFonts w:ascii="Arial" w:hAnsi="Arial" w:eastAsia="Arial"/>
          <w:b w:val="0"/>
          <w:i w:val="0"/>
          <w:color w:val="232830"/>
          <w:sz w:val="19"/>
        </w:rPr>
        <w:t xml:space="preserve">6. </w:t>
      </w:r>
      <w:r>
        <w:rPr>
          <w:rFonts w:ascii="Arial" w:hAnsi="Arial" w:eastAsia="Arial"/>
          <w:b/>
          <w:i w:val="0"/>
          <w:color w:val="232830"/>
          <w:sz w:val="19"/>
        </w:rPr>
        <w:t xml:space="preserve">Functional decline / high fall risk / altered mental status (multifactorial) — improved, not at baseline. </w:t>
      </w:r>
      <w:r>
        <w:rPr>
          <w:rFonts w:ascii="Arial" w:hAnsi="Arial" w:eastAsia="Arial"/>
          <w:b w:val="0"/>
          <w:i w:val="0"/>
          <w:color w:val="232830"/>
          <w:sz w:val="19"/>
        </w:rPr>
        <w:t>Family-observed cognitive slowing and medication-management errors, weakness, and a near-fall prompted PT and OT evaluation. Fall risk remained high (Morse 65). By HD5–HD6 he ambulated 100–150 feet with a rolling walker and supervision and completed ADLs with supervision, but endurance and reliable independent medication management were not back to baseline (reproducible errors sorting his 19-item regimen). Gabapentin was briefly held/reduced for evening sedation and fall risk, then returned to 300 mg nightly by HD5 as mentation improved.</w:t>
      </w:r>
    </w:p>
    <w:p>
      <w:pPr>
        <w:spacing w:after="40" w:before="0"/>
        <w:ind w:left="240"/>
      </w:pPr>
      <w:r>
        <w:rPr>
          <w:rFonts w:ascii="Arial" w:hAnsi="Arial" w:eastAsia="Arial"/>
          <w:b w:val="0"/>
          <w:i w:val="0"/>
          <w:color w:val="232830"/>
          <w:sz w:val="19"/>
        </w:rPr>
        <w:t xml:space="preserve">7. </w:t>
      </w:r>
      <w:r>
        <w:rPr>
          <w:rFonts w:ascii="Arial" w:hAnsi="Arial" w:eastAsia="Arial"/>
          <w:b/>
          <w:i w:val="0"/>
          <w:color w:val="232830"/>
          <w:sz w:val="19"/>
        </w:rPr>
        <w:t xml:space="preserve">Other chronic problems. </w:t>
      </w:r>
      <w:r>
        <w:rPr>
          <w:rFonts w:ascii="Arial" w:hAnsi="Arial" w:eastAsia="Arial"/>
          <w:b w:val="0"/>
          <w:i w:val="0"/>
          <w:color w:val="232830"/>
          <w:sz w:val="19"/>
        </w:rPr>
        <w:t>Anemia of CKD (baseline Hgb 10.5–11.5; ferrous sulfate continued every other day), obstructive sleep apnea (CPAP, variable adherence), osteoporosis (alendronate weekly, calcium/vitamin D), chronic GERD (pantoprazole), and constipation tendency (PEG/senna PRN) were continued per the reconciled list without acute issue.</w:t>
      </w:r>
    </w:p>
    <w:p>
      <w:pPr>
        <w:spacing w:after="60" w:before="160"/>
      </w:pPr>
      <w:r>
        <w:rPr>
          <w:rFonts w:ascii="Arial" w:hAnsi="Arial" w:eastAsia="Arial"/>
          <w:b/>
          <w:i w:val="0"/>
          <w:color w:val="4472C4"/>
          <w:sz w:val="20"/>
        </w:rPr>
        <w:t>DISCHARGE DIAGNOSES</w:t>
      </w:r>
    </w:p>
    <w:p>
      <w:pPr>
        <w:spacing w:after="20" w:before="0"/>
      </w:pPr>
      <w:r>
        <w:rPr>
          <w:rFonts w:ascii="Arial" w:hAnsi="Arial" w:eastAsia="Arial"/>
          <w:b w:val="0"/>
          <w:i w:val="0"/>
          <w:color w:val="232830"/>
          <w:sz w:val="19"/>
        </w:rPr>
        <w:t>Principal diagnosis:</w:t>
      </w:r>
    </w:p>
    <w:p>
      <w:pPr>
        <w:spacing w:after="40" w:before="0"/>
        <w:ind w:left="240"/>
      </w:pPr>
      <w:r>
        <w:rPr>
          <w:rFonts w:ascii="Arial" w:hAnsi="Arial" w:eastAsia="Arial"/>
          <w:b w:val="0"/>
          <w:i w:val="0"/>
          <w:color w:val="232830"/>
          <w:sz w:val="19"/>
        </w:rPr>
        <w:t xml:space="preserve">1. </w:t>
      </w:r>
      <w:r>
        <w:rPr>
          <w:rFonts w:ascii="Arial" w:hAnsi="Arial" w:eastAsia="Arial"/>
          <w:b w:val="0"/>
          <w:i w:val="0"/>
          <w:color w:val="232830"/>
          <w:sz w:val="19"/>
        </w:rPr>
        <w:t>Suspected urinary-source infection / urosepsis, treated empirically — resolved.</w:t>
      </w:r>
    </w:p>
    <w:p>
      <w:pPr>
        <w:spacing w:after="20" w:before="0"/>
      </w:pPr>
      <w:r>
        <w:rPr>
          <w:rFonts w:ascii="Arial" w:hAnsi="Arial" w:eastAsia="Arial"/>
          <w:b w:val="0"/>
          <w:i w:val="0"/>
          <w:color w:val="232830"/>
          <w:sz w:val="19"/>
        </w:rPr>
        <w:t>Secondary / active diagnoses:</w:t>
      </w:r>
    </w:p>
    <w:p>
      <w:pPr>
        <w:spacing w:after="40" w:before="0"/>
        <w:ind w:left="240"/>
      </w:pPr>
      <w:r>
        <w:rPr>
          <w:rFonts w:ascii="Arial" w:hAnsi="Arial" w:eastAsia="Arial"/>
          <w:b w:val="0"/>
          <w:i w:val="0"/>
          <w:color w:val="232830"/>
          <w:sz w:val="19"/>
        </w:rPr>
        <w:t xml:space="preserve">2. </w:t>
      </w:r>
      <w:r>
        <w:rPr>
          <w:rFonts w:ascii="Arial" w:hAnsi="Arial" w:eastAsia="Arial"/>
          <w:b w:val="0"/>
          <w:i w:val="0"/>
          <w:color w:val="232830"/>
          <w:sz w:val="19"/>
        </w:rPr>
        <w:t>Acute kidney injury on chronic kidney disease stage 3 (N18.30) — resolved to baseline by laboratory criteria</w:t>
      </w:r>
    </w:p>
    <w:p>
      <w:pPr>
        <w:spacing w:after="40" w:before="0"/>
        <w:ind w:left="240"/>
      </w:pPr>
      <w:r>
        <w:rPr>
          <w:rFonts w:ascii="Arial" w:hAnsi="Arial" w:eastAsia="Arial"/>
          <w:b w:val="0"/>
          <w:i w:val="0"/>
          <w:color w:val="232830"/>
          <w:sz w:val="19"/>
        </w:rPr>
        <w:t xml:space="preserve">3. </w:t>
      </w:r>
      <w:r>
        <w:rPr>
          <w:rFonts w:ascii="Arial" w:hAnsi="Arial" w:eastAsia="Arial"/>
          <w:b w:val="0"/>
          <w:i w:val="0"/>
          <w:color w:val="232830"/>
          <w:sz w:val="19"/>
        </w:rPr>
        <w:t>Heart failure with reduced ejection fraction (I50.22) — chronic GDMT, staged cardiorenal restart planned</w:t>
      </w:r>
    </w:p>
    <w:p>
      <w:pPr>
        <w:spacing w:after="40" w:before="0"/>
        <w:ind w:left="240"/>
      </w:pPr>
      <w:r>
        <w:rPr>
          <w:rFonts w:ascii="Arial" w:hAnsi="Arial" w:eastAsia="Arial"/>
          <w:b w:val="0"/>
          <w:i w:val="0"/>
          <w:color w:val="232830"/>
          <w:sz w:val="19"/>
        </w:rPr>
        <w:t xml:space="preserve">4. </w:t>
      </w:r>
      <w:r>
        <w:rPr>
          <w:rFonts w:ascii="Arial" w:hAnsi="Arial" w:eastAsia="Arial"/>
          <w:b w:val="0"/>
          <w:i w:val="0"/>
          <w:color w:val="232830"/>
          <w:sz w:val="19"/>
        </w:rPr>
        <w:t>Coronary artery disease s/p remote PCI/drug-eluting stent, mid-LAD 09/12/2018 (I25.10)</w:t>
      </w:r>
    </w:p>
    <w:p>
      <w:pPr>
        <w:spacing w:after="40" w:before="0"/>
        <w:ind w:left="240"/>
      </w:pPr>
      <w:r>
        <w:rPr>
          <w:rFonts w:ascii="Arial" w:hAnsi="Arial" w:eastAsia="Arial"/>
          <w:b w:val="0"/>
          <w:i w:val="0"/>
          <w:color w:val="232830"/>
          <w:sz w:val="19"/>
        </w:rPr>
        <w:t xml:space="preserve">5. </w:t>
      </w:r>
      <w:r>
        <w:rPr>
          <w:rFonts w:ascii="Arial" w:hAnsi="Arial" w:eastAsia="Arial"/>
          <w:b w:val="0"/>
          <w:i w:val="0"/>
          <w:color w:val="232830"/>
          <w:sz w:val="19"/>
        </w:rPr>
        <w:t>Type 2 diabetes mellitus (E11.9) — basal insulin continued; oral agents held</w:t>
      </w:r>
    </w:p>
    <w:p>
      <w:pPr>
        <w:spacing w:after="40" w:before="0"/>
        <w:ind w:left="240"/>
      </w:pPr>
      <w:r>
        <w:rPr>
          <w:rFonts w:ascii="Arial" w:hAnsi="Arial" w:eastAsia="Arial"/>
          <w:b w:val="0"/>
          <w:i w:val="0"/>
          <w:color w:val="232830"/>
          <w:sz w:val="19"/>
        </w:rPr>
        <w:t xml:space="preserve">6. </w:t>
      </w:r>
      <w:r>
        <w:rPr>
          <w:rFonts w:ascii="Arial" w:hAnsi="Arial" w:eastAsia="Arial"/>
          <w:b w:val="0"/>
          <w:i w:val="0"/>
          <w:color w:val="232830"/>
          <w:sz w:val="19"/>
        </w:rPr>
        <w:t>Polymyalgia rheumatica on chronic prednisone (M35.3) — taper to be finalized with rheumatology</w:t>
      </w:r>
    </w:p>
    <w:p>
      <w:pPr>
        <w:spacing w:after="40" w:before="0"/>
        <w:ind w:left="240"/>
      </w:pPr>
      <w:r>
        <w:rPr>
          <w:rFonts w:ascii="Arial" w:hAnsi="Arial" w:eastAsia="Arial"/>
          <w:b w:val="0"/>
          <w:i w:val="0"/>
          <w:color w:val="232830"/>
          <w:sz w:val="19"/>
        </w:rPr>
        <w:t xml:space="preserve">7. </w:t>
      </w:r>
      <w:r>
        <w:rPr>
          <w:rFonts w:ascii="Arial" w:hAnsi="Arial" w:eastAsia="Arial"/>
          <w:b w:val="0"/>
          <w:i w:val="0"/>
          <w:color w:val="232830"/>
          <w:sz w:val="19"/>
        </w:rPr>
        <w:t>Essential hypertension (I10)</w:t>
      </w:r>
    </w:p>
    <w:p>
      <w:pPr>
        <w:spacing w:after="40" w:before="0"/>
        <w:ind w:left="240"/>
      </w:pPr>
      <w:r>
        <w:rPr>
          <w:rFonts w:ascii="Arial" w:hAnsi="Arial" w:eastAsia="Arial"/>
          <w:b w:val="0"/>
          <w:i w:val="0"/>
          <w:color w:val="232830"/>
          <w:sz w:val="19"/>
        </w:rPr>
        <w:t xml:space="preserve">8. </w:t>
      </w:r>
      <w:r>
        <w:rPr>
          <w:rFonts w:ascii="Arial" w:hAnsi="Arial" w:eastAsia="Arial"/>
          <w:b w:val="0"/>
          <w:i w:val="0"/>
          <w:color w:val="232830"/>
          <w:sz w:val="19"/>
        </w:rPr>
        <w:t>Mixed hyperlipidemia (E78.2)</w:t>
      </w:r>
    </w:p>
    <w:p>
      <w:pPr>
        <w:spacing w:after="40" w:before="0"/>
        <w:ind w:left="240"/>
      </w:pPr>
      <w:r>
        <w:rPr>
          <w:rFonts w:ascii="Arial" w:hAnsi="Arial" w:eastAsia="Arial"/>
          <w:b w:val="0"/>
          <w:i w:val="0"/>
          <w:color w:val="232830"/>
          <w:sz w:val="19"/>
        </w:rPr>
        <w:t xml:space="preserve">9. </w:t>
      </w:r>
      <w:r>
        <w:rPr>
          <w:rFonts w:ascii="Arial" w:hAnsi="Arial" w:eastAsia="Arial"/>
          <w:b w:val="0"/>
          <w:i w:val="0"/>
          <w:color w:val="232830"/>
          <w:sz w:val="19"/>
        </w:rPr>
        <w:t>Diabetic peripheral neuropathy (E11.42)</w:t>
      </w:r>
    </w:p>
    <w:p>
      <w:pPr>
        <w:spacing w:after="40" w:before="0"/>
        <w:ind w:left="240"/>
      </w:pPr>
      <w:r>
        <w:rPr>
          <w:rFonts w:ascii="Arial" w:hAnsi="Arial" w:eastAsia="Arial"/>
          <w:b w:val="0"/>
          <w:i w:val="0"/>
          <w:color w:val="232830"/>
          <w:sz w:val="19"/>
        </w:rPr>
        <w:t xml:space="preserve">10. </w:t>
      </w:r>
      <w:r>
        <w:rPr>
          <w:rFonts w:ascii="Arial" w:hAnsi="Arial" w:eastAsia="Arial"/>
          <w:b w:val="0"/>
          <w:i w:val="0"/>
          <w:color w:val="232830"/>
          <w:sz w:val="19"/>
        </w:rPr>
        <w:t>Anemia of chronic kidney disease (D63.1)</w:t>
      </w:r>
    </w:p>
    <w:p>
      <w:pPr>
        <w:spacing w:after="40" w:before="0"/>
        <w:ind w:left="240"/>
      </w:pPr>
      <w:r>
        <w:rPr>
          <w:rFonts w:ascii="Arial" w:hAnsi="Arial" w:eastAsia="Arial"/>
          <w:b w:val="0"/>
          <w:i w:val="0"/>
          <w:color w:val="232830"/>
          <w:sz w:val="19"/>
        </w:rPr>
        <w:t xml:space="preserve">11. </w:t>
      </w:r>
      <w:r>
        <w:rPr>
          <w:rFonts w:ascii="Arial" w:hAnsi="Arial" w:eastAsia="Arial"/>
          <w:b w:val="0"/>
          <w:i w:val="0"/>
          <w:color w:val="232830"/>
          <w:sz w:val="19"/>
        </w:rPr>
        <w:t>Osteoporosis/osteopenia related to chronic steroid exposure (M81.0)</w:t>
      </w:r>
    </w:p>
    <w:p>
      <w:pPr>
        <w:spacing w:after="40" w:before="0"/>
        <w:ind w:left="240"/>
      </w:pPr>
      <w:r>
        <w:rPr>
          <w:rFonts w:ascii="Arial" w:hAnsi="Arial" w:eastAsia="Arial"/>
          <w:b w:val="0"/>
          <w:i w:val="0"/>
          <w:color w:val="232830"/>
          <w:sz w:val="19"/>
        </w:rPr>
        <w:t xml:space="preserve">12. </w:t>
      </w:r>
      <w:r>
        <w:rPr>
          <w:rFonts w:ascii="Arial" w:hAnsi="Arial" w:eastAsia="Arial"/>
          <w:b w:val="0"/>
          <w:i w:val="0"/>
          <w:color w:val="232830"/>
          <w:sz w:val="19"/>
        </w:rPr>
        <w:t>Obstructive sleep apnea (G47.33) — CPAP, variable adherence</w:t>
      </w:r>
    </w:p>
    <w:p>
      <w:pPr>
        <w:spacing w:after="40" w:before="0"/>
        <w:ind w:left="240"/>
      </w:pPr>
      <w:r>
        <w:rPr>
          <w:rFonts w:ascii="Arial" w:hAnsi="Arial" w:eastAsia="Arial"/>
          <w:b w:val="0"/>
          <w:i w:val="0"/>
          <w:color w:val="232830"/>
          <w:sz w:val="19"/>
        </w:rPr>
        <w:t xml:space="preserve">13. </w:t>
      </w:r>
      <w:r>
        <w:rPr>
          <w:rFonts w:ascii="Arial" w:hAnsi="Arial" w:eastAsia="Arial"/>
          <w:b w:val="0"/>
          <w:i w:val="0"/>
          <w:color w:val="232830"/>
          <w:sz w:val="19"/>
        </w:rPr>
        <w:t>Class I obesity (E66.9)</w:t>
      </w:r>
    </w:p>
    <w:p>
      <w:pPr>
        <w:spacing w:after="40" w:before="0"/>
        <w:ind w:left="240"/>
      </w:pPr>
      <w:r>
        <w:rPr>
          <w:rFonts w:ascii="Arial" w:hAnsi="Arial" w:eastAsia="Arial"/>
          <w:b w:val="0"/>
          <w:i w:val="0"/>
          <w:color w:val="232830"/>
          <w:sz w:val="19"/>
        </w:rPr>
        <w:t xml:space="preserve">14. </w:t>
      </w:r>
      <w:r>
        <w:rPr>
          <w:rFonts w:ascii="Arial" w:hAnsi="Arial" w:eastAsia="Arial"/>
          <w:b w:val="0"/>
          <w:i w:val="0"/>
          <w:color w:val="232830"/>
          <w:sz w:val="19"/>
        </w:rPr>
        <w:t>Chronic gastroesophageal reflux disease (K21.9)</w:t>
      </w:r>
    </w:p>
    <w:p>
      <w:pPr>
        <w:spacing w:after="40" w:before="0"/>
        <w:ind w:left="240"/>
      </w:pPr>
      <w:r>
        <w:rPr>
          <w:rFonts w:ascii="Arial" w:hAnsi="Arial" w:eastAsia="Arial"/>
          <w:b w:val="0"/>
          <w:i w:val="0"/>
          <w:color w:val="232830"/>
          <w:sz w:val="19"/>
        </w:rPr>
        <w:t xml:space="preserve">15. </w:t>
      </w:r>
      <w:r>
        <w:rPr>
          <w:rFonts w:ascii="Arial" w:hAnsi="Arial" w:eastAsia="Arial"/>
          <w:b w:val="0"/>
          <w:i w:val="0"/>
          <w:color w:val="232830"/>
          <w:sz w:val="19"/>
        </w:rPr>
        <w:t>Chronic constipation tendency (K59.00)</w:t>
      </w:r>
    </w:p>
    <w:p>
      <w:pPr>
        <w:spacing w:after="40" w:before="0"/>
        <w:ind w:left="240"/>
      </w:pPr>
      <w:r>
        <w:rPr>
          <w:rFonts w:ascii="Arial" w:hAnsi="Arial" w:eastAsia="Arial"/>
          <w:b w:val="0"/>
          <w:i w:val="0"/>
          <w:color w:val="232830"/>
          <w:sz w:val="19"/>
        </w:rPr>
        <w:t xml:space="preserve">16. </w:t>
      </w:r>
      <w:r>
        <w:rPr>
          <w:rFonts w:ascii="Arial" w:hAnsi="Arial" w:eastAsia="Arial"/>
          <w:b w:val="0"/>
          <w:i w:val="0"/>
          <w:color w:val="232830"/>
          <w:sz w:val="19"/>
        </w:rPr>
        <w:t>Functional decline / deconditioning with high fall risk; altered mental status, improved (multifactorial)</w:t>
      </w:r>
    </w:p>
    <w:p>
      <w:pPr>
        <w:spacing w:after="60" w:before="160"/>
      </w:pPr>
      <w:r>
        <w:rPr>
          <w:rFonts w:ascii="Arial" w:hAnsi="Arial" w:eastAsia="Arial"/>
          <w:b/>
          <w:i w:val="0"/>
          <w:color w:val="4472C4"/>
          <w:sz w:val="20"/>
        </w:rPr>
        <w:t>CONDITION AT DISCHARGE</w:t>
      </w:r>
    </w:p>
    <w:p>
      <w:pPr>
        <w:spacing w:after="120" w:before="0"/>
      </w:pPr>
      <w:r>
        <w:rPr>
          <w:rFonts w:ascii="Arial" w:hAnsi="Arial" w:eastAsia="Arial"/>
          <w:b w:val="0"/>
          <w:i w:val="0"/>
          <w:color w:val="232830"/>
          <w:sz w:val="19"/>
        </w:rPr>
        <w:t>Stable and improved. Afebrile, hemodynamically stable (systolic 114–130 mmHg), renal function at baseline (creatinine 1.80 mg/dL, potassium 4.4), oral intake 75–90% of meals. Ambulates short-to-moderate distances with a rolling walker and supervision; completes ADLs with supervision. Alert and oriented with residual slowing on complex, multi-step tasks. Discharged home with his wife (primary caregiver/healthcare proxy) and home health services. Code status: Full Code.</w:t>
      </w:r>
    </w:p>
    <w:p>
      <w:pPr>
        <w:spacing w:after="60" w:before="160"/>
      </w:pPr>
      <w:r>
        <w:rPr>
          <w:rFonts w:ascii="Arial" w:hAnsi="Arial" w:eastAsia="Arial"/>
          <w:b/>
          <w:i w:val="0"/>
          <w:color w:val="4472C4"/>
          <w:sz w:val="20"/>
        </w:rPr>
        <w:t>DISCHARGE MEDICATIONS</w:t>
      </w:r>
    </w:p>
    <w:p>
      <w:pPr>
        <w:spacing w:after="80" w:before="0"/>
      </w:pPr>
      <w:r>
        <w:rPr>
          <w:rFonts w:ascii="Arial" w:hAnsi="Arial" w:eastAsia="Arial"/>
          <w:b w:val="0"/>
          <w:i w:val="0"/>
          <w:color w:val="232830"/>
          <w:sz w:val="19"/>
        </w:rPr>
        <w:t>Reconciled against the inpatient pharmacy medication reconciliation (E. Marlott, PharmD), the Medication Administration Record through HD6, the outpatient pharmacy refill history (Harbor Crest Community Pharmacy), and consultant recommendations. Eighteen of nineteen home medications were source-verified on admission; prednisone was the one unverified item and is addressed below. Inpatient-only therapies (correctional insulin lispro, IV fluids, IV antibiotics) are NOT continued at home.</w:t>
      </w:r>
    </w:p>
    <w:p>
      <w:pPr>
        <w:spacing w:after="40" w:before="0"/>
      </w:pPr>
      <w:r>
        <w:rPr>
          <w:rFonts w:ascii="Arial" w:hAnsi="Arial" w:eastAsia="Arial"/>
          <w:b w:val="0"/>
          <w:i w:val="0"/>
          <w:color w:val="232830"/>
          <w:sz w:val="19"/>
        </w:rPr>
        <w:t>CONTINUE — resume/continue at home as written:</w:t>
      </w:r>
    </w:p>
    <w:tbl>
      <w:tblPr>
        <w:tblStyle w:val="TableGrid"/>
        <w:tblW w:type="auto" w:w="0"/>
        <w:tblLayout w:type="fixed"/>
        <w:tblLook w:firstColumn="1" w:firstRow="1" w:lastColumn="0" w:lastRow="0" w:noHBand="0" w:noVBand="1" w:val="04A0"/>
      </w:tblPr>
      <w:tblGrid>
        <w:gridCol w:w="3456"/>
        <w:gridCol w:w="3456"/>
        <w:gridCol w:w="3456"/>
      </w:tblGrid>
      <w:tr>
        <w:tc>
          <w:tcPr>
            <w:tcW w:type="dxa" w:w="2448"/>
            <w:shd w:val="clear" w:color="auto" w:fill="4472C4"/>
          </w:tcPr>
          <w:p>
            <w:pPr>
              <w:spacing w:after="20" w:before="20"/>
            </w:pPr>
            <w:r/>
            <w:r>
              <w:rPr>
                <w:rFonts w:ascii="Arial" w:hAnsi="Arial" w:eastAsia="Arial"/>
                <w:b/>
                <w:i w:val="0"/>
                <w:color w:val="FFFFFF"/>
                <w:sz w:val="19"/>
              </w:rPr>
              <w:t>Medication</w:t>
            </w:r>
          </w:p>
        </w:tc>
        <w:tc>
          <w:tcPr>
            <w:tcW w:type="dxa" w:w="3600"/>
            <w:shd w:val="clear" w:color="auto" w:fill="4472C4"/>
          </w:tcPr>
          <w:p>
            <w:pPr>
              <w:spacing w:after="20" w:before="20"/>
            </w:pPr>
            <w:r/>
            <w:r>
              <w:rPr>
                <w:rFonts w:ascii="Arial" w:hAnsi="Arial" w:eastAsia="Arial"/>
                <w:b/>
                <w:i w:val="0"/>
                <w:color w:val="FFFFFF"/>
                <w:sz w:val="19"/>
              </w:rPr>
              <w:t>Dose / route / frequency</w:t>
            </w:r>
          </w:p>
        </w:tc>
        <w:tc>
          <w:tcPr>
            <w:tcW w:type="dxa" w:w="3456"/>
            <w:shd w:val="clear" w:color="auto" w:fill="4472C4"/>
          </w:tcPr>
          <w:p>
            <w:pPr>
              <w:spacing w:after="20" w:before="20"/>
            </w:pPr>
            <w:r/>
            <w:r>
              <w:rPr>
                <w:rFonts w:ascii="Arial" w:hAnsi="Arial" w:eastAsia="Arial"/>
                <w:b/>
                <w:i w:val="0"/>
                <w:color w:val="FFFFFF"/>
                <w:sz w:val="19"/>
              </w:rPr>
              <w:t>Note</w:t>
            </w:r>
          </w:p>
        </w:tc>
      </w:tr>
      <w:tr>
        <w:tc>
          <w:tcPr>
            <w:tcW w:type="dxa" w:w="2448"/>
          </w:tcPr>
          <w:p>
            <w:pPr>
              <w:spacing w:after="20" w:before="20"/>
            </w:pPr>
            <w:r/>
            <w:r>
              <w:rPr>
                <w:rFonts w:ascii="Arial" w:hAnsi="Arial" w:eastAsia="Arial"/>
                <w:b w:val="0"/>
                <w:i w:val="0"/>
                <w:color w:val="232830"/>
                <w:sz w:val="19"/>
              </w:rPr>
              <w:t>Aspirin</w:t>
            </w:r>
          </w:p>
        </w:tc>
        <w:tc>
          <w:tcPr>
            <w:tcW w:type="dxa" w:w="3600"/>
          </w:tcPr>
          <w:p>
            <w:pPr>
              <w:spacing w:after="20" w:before="20"/>
            </w:pPr>
            <w:r/>
            <w:r>
              <w:rPr>
                <w:rFonts w:ascii="Arial" w:hAnsi="Arial" w:eastAsia="Arial"/>
                <w:b w:val="0"/>
                <w:i w:val="0"/>
                <w:color w:val="232830"/>
                <w:sz w:val="19"/>
              </w:rPr>
              <w:t>81 mg PO daily</w:t>
            </w:r>
          </w:p>
        </w:tc>
        <w:tc>
          <w:tcPr>
            <w:tcW w:type="dxa" w:w="3456"/>
          </w:tcPr>
          <w:p>
            <w:pPr>
              <w:spacing w:after="20" w:before="20"/>
            </w:pPr>
            <w:r/>
            <w:r>
              <w:rPr>
                <w:rFonts w:ascii="Arial" w:hAnsi="Arial" w:eastAsia="Arial"/>
                <w:b w:val="0"/>
                <w:i w:val="0"/>
                <w:color w:val="232830"/>
                <w:sz w:val="19"/>
              </w:rPr>
              <w:t>CAD secondary prevention; continued throughout</w:t>
            </w:r>
          </w:p>
        </w:tc>
      </w:tr>
      <w:tr>
        <w:tc>
          <w:tcPr>
            <w:tcW w:type="dxa" w:w="2448"/>
            <w:shd w:val="clear" w:color="auto" w:fill="EAF0FB"/>
          </w:tcPr>
          <w:p>
            <w:pPr>
              <w:spacing w:after="20" w:before="20"/>
            </w:pPr>
            <w:r/>
            <w:r>
              <w:rPr>
                <w:rFonts w:ascii="Arial" w:hAnsi="Arial" w:eastAsia="Arial"/>
                <w:b w:val="0"/>
                <w:i w:val="0"/>
                <w:color w:val="232830"/>
                <w:sz w:val="19"/>
              </w:rPr>
              <w:t>Atorvastatin</w:t>
            </w:r>
          </w:p>
        </w:tc>
        <w:tc>
          <w:tcPr>
            <w:tcW w:type="dxa" w:w="3600"/>
            <w:shd w:val="clear" w:color="auto" w:fill="EAF0FB"/>
          </w:tcPr>
          <w:p>
            <w:pPr>
              <w:spacing w:after="20" w:before="20"/>
            </w:pPr>
            <w:r/>
            <w:r>
              <w:rPr>
                <w:rFonts w:ascii="Arial" w:hAnsi="Arial" w:eastAsia="Arial"/>
                <w:b w:val="0"/>
                <w:i w:val="0"/>
                <w:color w:val="232830"/>
                <w:sz w:val="19"/>
              </w:rPr>
              <w:t>40 mg PO nightly</w:t>
            </w:r>
          </w:p>
        </w:tc>
        <w:tc>
          <w:tcPr>
            <w:tcW w:type="dxa" w:w="3456"/>
            <w:shd w:val="clear" w:color="auto" w:fill="EAF0FB"/>
          </w:tcPr>
          <w:p>
            <w:pPr>
              <w:spacing w:after="20" w:before="20"/>
            </w:pPr>
            <w:r/>
            <w:r>
              <w:rPr>
                <w:rFonts w:ascii="Arial" w:hAnsi="Arial" w:eastAsia="Arial"/>
                <w:b w:val="0"/>
                <w:i w:val="0"/>
                <w:color w:val="232830"/>
                <w:sz w:val="19"/>
              </w:rPr>
              <w:t>Continued throughout</w:t>
            </w:r>
          </w:p>
        </w:tc>
      </w:tr>
      <w:tr>
        <w:tc>
          <w:tcPr>
            <w:tcW w:type="dxa" w:w="2448"/>
          </w:tcPr>
          <w:p>
            <w:pPr>
              <w:spacing w:after="20" w:before="20"/>
            </w:pPr>
            <w:r/>
            <w:r>
              <w:rPr>
                <w:rFonts w:ascii="Arial" w:hAnsi="Arial" w:eastAsia="Arial"/>
                <w:b w:val="0"/>
                <w:i w:val="0"/>
                <w:color w:val="232830"/>
                <w:sz w:val="19"/>
              </w:rPr>
              <w:t>Carvedilol</w:t>
            </w:r>
          </w:p>
        </w:tc>
        <w:tc>
          <w:tcPr>
            <w:tcW w:type="dxa" w:w="3600"/>
          </w:tcPr>
          <w:p>
            <w:pPr>
              <w:spacing w:after="20" w:before="20"/>
            </w:pPr>
            <w:r/>
            <w:r>
              <w:rPr>
                <w:rFonts w:ascii="Arial" w:hAnsi="Arial" w:eastAsia="Arial"/>
                <w:b w:val="0"/>
                <w:i w:val="0"/>
                <w:color w:val="232830"/>
                <w:sz w:val="19"/>
              </w:rPr>
              <w:t>12.5 mg PO BID with food</w:t>
            </w:r>
          </w:p>
        </w:tc>
        <w:tc>
          <w:tcPr>
            <w:tcW w:type="dxa" w:w="3456"/>
          </w:tcPr>
          <w:p>
            <w:pPr>
              <w:spacing w:after="20" w:before="20"/>
            </w:pPr>
            <w:r/>
            <w:r>
              <w:rPr>
                <w:rFonts w:ascii="Arial" w:hAnsi="Arial" w:eastAsia="Arial"/>
                <w:b w:val="0"/>
                <w:i w:val="0"/>
                <w:color w:val="232830"/>
                <w:sz w:val="19"/>
              </w:rPr>
              <w:t>Cautiously resumed inpatient; tolerated BID by HD4–HD6</w:t>
            </w:r>
          </w:p>
        </w:tc>
      </w:tr>
      <w:tr>
        <w:tc>
          <w:tcPr>
            <w:tcW w:type="dxa" w:w="2448"/>
            <w:shd w:val="clear" w:color="auto" w:fill="EAF0FB"/>
          </w:tcPr>
          <w:p>
            <w:pPr>
              <w:spacing w:after="20" w:before="20"/>
            </w:pPr>
            <w:r/>
            <w:r>
              <w:rPr>
                <w:rFonts w:ascii="Arial" w:hAnsi="Arial" w:eastAsia="Arial"/>
                <w:b w:val="0"/>
                <w:i w:val="0"/>
                <w:color w:val="232830"/>
                <w:sz w:val="19"/>
              </w:rPr>
              <w:t>Insulin glargine</w:t>
            </w:r>
          </w:p>
        </w:tc>
        <w:tc>
          <w:tcPr>
            <w:tcW w:type="dxa" w:w="3600"/>
            <w:shd w:val="clear" w:color="auto" w:fill="EAF0FB"/>
          </w:tcPr>
          <w:p>
            <w:pPr>
              <w:spacing w:after="20" w:before="20"/>
            </w:pPr>
            <w:r/>
            <w:r>
              <w:rPr>
                <w:rFonts w:ascii="Arial" w:hAnsi="Arial" w:eastAsia="Arial"/>
                <w:b w:val="0"/>
                <w:i w:val="0"/>
                <w:color w:val="232830"/>
                <w:sz w:val="19"/>
              </w:rPr>
              <w:t>18 units SC nightly</w:t>
            </w:r>
          </w:p>
        </w:tc>
        <w:tc>
          <w:tcPr>
            <w:tcW w:type="dxa" w:w="3456"/>
            <w:shd w:val="clear" w:color="auto" w:fill="EAF0FB"/>
          </w:tcPr>
          <w:p>
            <w:pPr>
              <w:spacing w:after="20" w:before="20"/>
            </w:pPr>
            <w:r/>
            <w:r>
              <w:rPr>
                <w:rFonts w:ascii="Arial" w:hAnsi="Arial" w:eastAsia="Arial"/>
                <w:b w:val="0"/>
                <w:i w:val="0"/>
                <w:color w:val="232830"/>
                <w:sz w:val="19"/>
              </w:rPr>
              <w:t>Back to home dose by HD6; resume 18 units</w:t>
            </w:r>
          </w:p>
        </w:tc>
      </w:tr>
      <w:tr>
        <w:tc>
          <w:tcPr>
            <w:tcW w:type="dxa" w:w="2448"/>
          </w:tcPr>
          <w:p>
            <w:pPr>
              <w:spacing w:after="20" w:before="20"/>
            </w:pPr>
            <w:r/>
            <w:r>
              <w:rPr>
                <w:rFonts w:ascii="Arial" w:hAnsi="Arial" w:eastAsia="Arial"/>
                <w:b w:val="0"/>
                <w:i w:val="0"/>
                <w:color w:val="232830"/>
                <w:sz w:val="19"/>
              </w:rPr>
              <w:t>Gabapentin</w:t>
            </w:r>
          </w:p>
        </w:tc>
        <w:tc>
          <w:tcPr>
            <w:tcW w:type="dxa" w:w="3600"/>
          </w:tcPr>
          <w:p>
            <w:pPr>
              <w:spacing w:after="20" w:before="20"/>
            </w:pPr>
            <w:r/>
            <w:r>
              <w:rPr>
                <w:rFonts w:ascii="Arial" w:hAnsi="Arial" w:eastAsia="Arial"/>
                <w:b w:val="0"/>
                <w:i w:val="0"/>
                <w:color w:val="232830"/>
                <w:sz w:val="19"/>
              </w:rPr>
              <w:t>300 mg PO nightly</w:t>
            </w:r>
          </w:p>
        </w:tc>
        <w:tc>
          <w:tcPr>
            <w:tcW w:type="dxa" w:w="3456"/>
          </w:tcPr>
          <w:p>
            <w:pPr>
              <w:spacing w:after="20" w:before="20"/>
            </w:pPr>
            <w:r/>
            <w:r>
              <w:rPr>
                <w:rFonts w:ascii="Arial" w:hAnsi="Arial" w:eastAsia="Arial"/>
                <w:b w:val="0"/>
                <w:i w:val="0"/>
                <w:color w:val="232830"/>
                <w:sz w:val="19"/>
              </w:rPr>
              <w:t>Resumed to full dose HD5–HD6; monitor evening sedation/fall risk</w:t>
            </w:r>
          </w:p>
        </w:tc>
      </w:tr>
      <w:tr>
        <w:tc>
          <w:tcPr>
            <w:tcW w:type="dxa" w:w="2448"/>
            <w:shd w:val="clear" w:color="auto" w:fill="EAF0FB"/>
          </w:tcPr>
          <w:p>
            <w:pPr>
              <w:spacing w:after="20" w:before="20"/>
            </w:pPr>
            <w:r/>
            <w:r>
              <w:rPr>
                <w:rFonts w:ascii="Arial" w:hAnsi="Arial" w:eastAsia="Arial"/>
                <w:b w:val="0"/>
                <w:i w:val="0"/>
                <w:color w:val="232830"/>
                <w:sz w:val="19"/>
              </w:rPr>
              <w:t>Ferrous sulfate</w:t>
            </w:r>
          </w:p>
        </w:tc>
        <w:tc>
          <w:tcPr>
            <w:tcW w:type="dxa" w:w="3600"/>
            <w:shd w:val="clear" w:color="auto" w:fill="EAF0FB"/>
          </w:tcPr>
          <w:p>
            <w:pPr>
              <w:spacing w:after="20" w:before="20"/>
            </w:pPr>
            <w:r/>
            <w:r>
              <w:rPr>
                <w:rFonts w:ascii="Arial" w:hAnsi="Arial" w:eastAsia="Arial"/>
                <w:b w:val="0"/>
                <w:i w:val="0"/>
                <w:color w:val="232830"/>
                <w:sz w:val="19"/>
              </w:rPr>
              <w:t>325 mg PO every other day</w:t>
            </w:r>
          </w:p>
        </w:tc>
        <w:tc>
          <w:tcPr>
            <w:tcW w:type="dxa" w:w="3456"/>
            <w:shd w:val="clear" w:color="auto" w:fill="EAF0FB"/>
          </w:tcPr>
          <w:p>
            <w:pPr>
              <w:spacing w:after="20" w:before="20"/>
            </w:pPr>
            <w:r/>
            <w:r>
              <w:rPr>
                <w:rFonts w:ascii="Arial" w:hAnsi="Arial" w:eastAsia="Arial"/>
                <w:b w:val="0"/>
                <w:i w:val="0"/>
                <w:color w:val="232830"/>
                <w:sz w:val="19"/>
              </w:rPr>
              <w:t>Anemia of CKD</w:t>
            </w:r>
          </w:p>
        </w:tc>
      </w:tr>
      <w:tr>
        <w:tc>
          <w:tcPr>
            <w:tcW w:type="dxa" w:w="2448"/>
          </w:tcPr>
          <w:p>
            <w:pPr>
              <w:spacing w:after="20" w:before="20"/>
            </w:pPr>
            <w:r/>
            <w:r>
              <w:rPr>
                <w:rFonts w:ascii="Arial" w:hAnsi="Arial" w:eastAsia="Arial"/>
                <w:b w:val="0"/>
                <w:i w:val="0"/>
                <w:color w:val="232830"/>
                <w:sz w:val="19"/>
              </w:rPr>
              <w:t>Calcium carbonate/vit D</w:t>
            </w:r>
          </w:p>
        </w:tc>
        <w:tc>
          <w:tcPr>
            <w:tcW w:type="dxa" w:w="3600"/>
          </w:tcPr>
          <w:p>
            <w:pPr>
              <w:spacing w:after="20" w:before="20"/>
            </w:pPr>
            <w:r/>
            <w:r>
              <w:rPr>
                <w:rFonts w:ascii="Arial" w:hAnsi="Arial" w:eastAsia="Arial"/>
                <w:b w:val="0"/>
                <w:i w:val="0"/>
                <w:color w:val="232830"/>
                <w:sz w:val="19"/>
              </w:rPr>
              <w:t>600 mg/400 IU PO BID</w:t>
            </w:r>
          </w:p>
        </w:tc>
        <w:tc>
          <w:tcPr>
            <w:tcW w:type="dxa" w:w="3456"/>
          </w:tcPr>
          <w:p>
            <w:pPr>
              <w:spacing w:after="20" w:before="20"/>
            </w:pPr>
            <w:r/>
            <w:r>
              <w:rPr>
                <w:rFonts w:ascii="Arial" w:hAnsi="Arial" w:eastAsia="Arial"/>
                <w:b w:val="0"/>
                <w:i w:val="0"/>
                <w:color w:val="232830"/>
                <w:sz w:val="19"/>
              </w:rPr>
              <w:t>Bone health</w:t>
            </w:r>
          </w:p>
        </w:tc>
      </w:tr>
      <w:tr>
        <w:tc>
          <w:tcPr>
            <w:tcW w:type="dxa" w:w="2448"/>
            <w:shd w:val="clear" w:color="auto" w:fill="EAF0FB"/>
          </w:tcPr>
          <w:p>
            <w:pPr>
              <w:spacing w:after="20" w:before="20"/>
            </w:pPr>
            <w:r/>
            <w:r>
              <w:rPr>
                <w:rFonts w:ascii="Arial" w:hAnsi="Arial" w:eastAsia="Arial"/>
                <w:b w:val="0"/>
                <w:i w:val="0"/>
                <w:color w:val="232830"/>
                <w:sz w:val="19"/>
              </w:rPr>
              <w:t>Pantoprazole</w:t>
            </w:r>
          </w:p>
        </w:tc>
        <w:tc>
          <w:tcPr>
            <w:tcW w:type="dxa" w:w="3600"/>
            <w:shd w:val="clear" w:color="auto" w:fill="EAF0FB"/>
          </w:tcPr>
          <w:p>
            <w:pPr>
              <w:spacing w:after="20" w:before="20"/>
            </w:pPr>
            <w:r/>
            <w:r>
              <w:rPr>
                <w:rFonts w:ascii="Arial" w:hAnsi="Arial" w:eastAsia="Arial"/>
                <w:b w:val="0"/>
                <w:i w:val="0"/>
                <w:color w:val="232830"/>
                <w:sz w:val="19"/>
              </w:rPr>
              <w:t>40 mg PO daily</w:t>
            </w:r>
          </w:p>
        </w:tc>
        <w:tc>
          <w:tcPr>
            <w:tcW w:type="dxa" w:w="3456"/>
            <w:shd w:val="clear" w:color="auto" w:fill="EAF0FB"/>
          </w:tcPr>
          <w:p>
            <w:pPr>
              <w:spacing w:after="20" w:before="20"/>
            </w:pPr>
            <w:r/>
            <w:r>
              <w:rPr>
                <w:rFonts w:ascii="Arial" w:hAnsi="Arial" w:eastAsia="Arial"/>
                <w:b w:val="0"/>
                <w:i w:val="0"/>
                <w:color w:val="232830"/>
                <w:sz w:val="19"/>
              </w:rPr>
              <w:t>Chronic GERD</w:t>
            </w:r>
          </w:p>
        </w:tc>
      </w:tr>
      <w:tr>
        <w:tc>
          <w:tcPr>
            <w:tcW w:type="dxa" w:w="2448"/>
          </w:tcPr>
          <w:p>
            <w:pPr>
              <w:spacing w:after="20" w:before="20"/>
            </w:pPr>
            <w:r/>
            <w:r>
              <w:rPr>
                <w:rFonts w:ascii="Arial" w:hAnsi="Arial" w:eastAsia="Arial"/>
                <w:b w:val="0"/>
                <w:i w:val="0"/>
                <w:color w:val="232830"/>
                <w:sz w:val="19"/>
              </w:rPr>
              <w:t>Alendronate</w:t>
            </w:r>
          </w:p>
        </w:tc>
        <w:tc>
          <w:tcPr>
            <w:tcW w:type="dxa" w:w="3600"/>
          </w:tcPr>
          <w:p>
            <w:pPr>
              <w:spacing w:after="20" w:before="20"/>
            </w:pPr>
            <w:r/>
            <w:r>
              <w:rPr>
                <w:rFonts w:ascii="Arial" w:hAnsi="Arial" w:eastAsia="Arial"/>
                <w:b w:val="0"/>
                <w:i w:val="0"/>
                <w:color w:val="232830"/>
                <w:sz w:val="19"/>
              </w:rPr>
              <w:t>70 mg PO weekly (Sunday AM)</w:t>
            </w:r>
          </w:p>
        </w:tc>
        <w:tc>
          <w:tcPr>
            <w:tcW w:type="dxa" w:w="3456"/>
          </w:tcPr>
          <w:p>
            <w:pPr>
              <w:spacing w:after="20" w:before="20"/>
            </w:pPr>
            <w:r/>
            <w:r>
              <w:rPr>
                <w:rFonts w:ascii="Arial" w:hAnsi="Arial" w:eastAsia="Arial"/>
                <w:b w:val="0"/>
                <w:i w:val="0"/>
                <w:color w:val="232830"/>
                <w:sz w:val="19"/>
              </w:rPr>
              <w:t>Resume outpatient weekly; not due during admission</w:t>
            </w:r>
          </w:p>
        </w:tc>
      </w:tr>
      <w:tr>
        <w:tc>
          <w:tcPr>
            <w:tcW w:type="dxa" w:w="2448"/>
            <w:shd w:val="clear" w:color="auto" w:fill="EAF0FB"/>
          </w:tcPr>
          <w:p>
            <w:pPr>
              <w:spacing w:after="20" w:before="20"/>
            </w:pPr>
            <w:r/>
            <w:r>
              <w:rPr>
                <w:rFonts w:ascii="Arial" w:hAnsi="Arial" w:eastAsia="Arial"/>
                <w:b w:val="0"/>
                <w:i w:val="0"/>
                <w:color w:val="232830"/>
                <w:sz w:val="19"/>
              </w:rPr>
              <w:t>Nitroglycerin</w:t>
            </w:r>
          </w:p>
        </w:tc>
        <w:tc>
          <w:tcPr>
            <w:tcW w:type="dxa" w:w="3600"/>
            <w:shd w:val="clear" w:color="auto" w:fill="EAF0FB"/>
          </w:tcPr>
          <w:p>
            <w:pPr>
              <w:spacing w:after="20" w:before="20"/>
            </w:pPr>
            <w:r/>
            <w:r>
              <w:rPr>
                <w:rFonts w:ascii="Arial" w:hAnsi="Arial" w:eastAsia="Arial"/>
                <w:b w:val="0"/>
                <w:i w:val="0"/>
                <w:color w:val="232830"/>
                <w:sz w:val="19"/>
              </w:rPr>
              <w:t>0.4 mg SL PRN chest pain</w:t>
            </w:r>
          </w:p>
        </w:tc>
        <w:tc>
          <w:tcPr>
            <w:tcW w:type="dxa" w:w="3456"/>
            <w:shd w:val="clear" w:color="auto" w:fill="EAF0FB"/>
          </w:tcPr>
          <w:p>
            <w:pPr>
              <w:spacing w:after="20" w:before="20"/>
            </w:pPr>
            <w:r/>
            <w:r>
              <w:rPr>
                <w:rFonts w:ascii="Arial" w:hAnsi="Arial" w:eastAsia="Arial"/>
                <w:b w:val="0"/>
                <w:i w:val="0"/>
                <w:color w:val="232830"/>
                <w:sz w:val="19"/>
              </w:rPr>
              <w:t>Rescue; max 3 doses, call 911 if persistent</w:t>
            </w:r>
          </w:p>
        </w:tc>
      </w:tr>
      <w:tr>
        <w:tc>
          <w:tcPr>
            <w:tcW w:type="dxa" w:w="2448"/>
          </w:tcPr>
          <w:p>
            <w:pPr>
              <w:spacing w:after="20" w:before="20"/>
            </w:pPr>
            <w:r/>
            <w:r>
              <w:rPr>
                <w:rFonts w:ascii="Arial" w:hAnsi="Arial" w:eastAsia="Arial"/>
                <w:b w:val="0"/>
                <w:i w:val="0"/>
                <w:color w:val="232830"/>
                <w:sz w:val="19"/>
              </w:rPr>
              <w:t>Acetaminophen</w:t>
            </w:r>
          </w:p>
        </w:tc>
        <w:tc>
          <w:tcPr>
            <w:tcW w:type="dxa" w:w="3600"/>
          </w:tcPr>
          <w:p>
            <w:pPr>
              <w:spacing w:after="20" w:before="20"/>
            </w:pPr>
            <w:r/>
            <w:r>
              <w:rPr>
                <w:rFonts w:ascii="Arial" w:hAnsi="Arial" w:eastAsia="Arial"/>
                <w:b w:val="0"/>
                <w:i w:val="0"/>
                <w:color w:val="232830"/>
                <w:sz w:val="19"/>
              </w:rPr>
              <w:t>650 mg PO q6h PRN</w:t>
            </w:r>
          </w:p>
        </w:tc>
        <w:tc>
          <w:tcPr>
            <w:tcW w:type="dxa" w:w="3456"/>
          </w:tcPr>
          <w:p>
            <w:pPr>
              <w:spacing w:after="20" w:before="20"/>
            </w:pPr>
            <w:r/>
            <w:r>
              <w:rPr>
                <w:rFonts w:ascii="Arial" w:hAnsi="Arial" w:eastAsia="Arial"/>
                <w:b w:val="0"/>
                <w:i w:val="0"/>
                <w:color w:val="232830"/>
                <w:sz w:val="19"/>
              </w:rPr>
              <w:t>Pain; avoid NSAIDs</w:t>
            </w:r>
          </w:p>
        </w:tc>
      </w:tr>
      <w:tr>
        <w:tc>
          <w:tcPr>
            <w:tcW w:type="dxa" w:w="2448"/>
            <w:shd w:val="clear" w:color="auto" w:fill="EAF0FB"/>
          </w:tcPr>
          <w:p>
            <w:pPr>
              <w:spacing w:after="20" w:before="20"/>
            </w:pPr>
            <w:r/>
            <w:r>
              <w:rPr>
                <w:rFonts w:ascii="Arial" w:hAnsi="Arial" w:eastAsia="Arial"/>
                <w:b w:val="0"/>
                <w:i w:val="0"/>
                <w:color w:val="232830"/>
                <w:sz w:val="19"/>
              </w:rPr>
              <w:t>PEG 3350</w:t>
            </w:r>
          </w:p>
        </w:tc>
        <w:tc>
          <w:tcPr>
            <w:tcW w:type="dxa" w:w="3600"/>
            <w:shd w:val="clear" w:color="auto" w:fill="EAF0FB"/>
          </w:tcPr>
          <w:p>
            <w:pPr>
              <w:spacing w:after="20" w:before="20"/>
            </w:pPr>
            <w:r/>
            <w:r>
              <w:rPr>
                <w:rFonts w:ascii="Arial" w:hAnsi="Arial" w:eastAsia="Arial"/>
                <w:b w:val="0"/>
                <w:i w:val="0"/>
                <w:color w:val="232830"/>
                <w:sz w:val="19"/>
              </w:rPr>
              <w:t>17 g PO daily PRN</w:t>
            </w:r>
          </w:p>
        </w:tc>
        <w:tc>
          <w:tcPr>
            <w:tcW w:type="dxa" w:w="3456"/>
            <w:shd w:val="clear" w:color="auto" w:fill="EAF0FB"/>
          </w:tcPr>
          <w:p>
            <w:pPr>
              <w:spacing w:after="20" w:before="20"/>
            </w:pPr>
            <w:r/>
            <w:r>
              <w:rPr>
                <w:rFonts w:ascii="Arial" w:hAnsi="Arial" w:eastAsia="Arial"/>
                <w:b w:val="0"/>
                <w:i w:val="0"/>
                <w:color w:val="232830"/>
                <w:sz w:val="19"/>
              </w:rPr>
              <w:t>Constipation</w:t>
            </w:r>
          </w:p>
        </w:tc>
      </w:tr>
      <w:tr>
        <w:tc>
          <w:tcPr>
            <w:tcW w:type="dxa" w:w="2448"/>
          </w:tcPr>
          <w:p>
            <w:pPr>
              <w:spacing w:after="20" w:before="20"/>
            </w:pPr>
            <w:r/>
            <w:r>
              <w:rPr>
                <w:rFonts w:ascii="Arial" w:hAnsi="Arial" w:eastAsia="Arial"/>
                <w:b w:val="0"/>
                <w:i w:val="0"/>
                <w:color w:val="232830"/>
                <w:sz w:val="19"/>
              </w:rPr>
              <w:t>Senna</w:t>
            </w:r>
          </w:p>
        </w:tc>
        <w:tc>
          <w:tcPr>
            <w:tcW w:type="dxa" w:w="3600"/>
          </w:tcPr>
          <w:p>
            <w:pPr>
              <w:spacing w:after="20" w:before="20"/>
            </w:pPr>
            <w:r/>
            <w:r>
              <w:rPr>
                <w:rFonts w:ascii="Arial" w:hAnsi="Arial" w:eastAsia="Arial"/>
                <w:b w:val="0"/>
                <w:i w:val="0"/>
                <w:color w:val="232830"/>
                <w:sz w:val="19"/>
              </w:rPr>
              <w:t>8.6 mg PO nightly PRN</w:t>
            </w:r>
          </w:p>
        </w:tc>
        <w:tc>
          <w:tcPr>
            <w:tcW w:type="dxa" w:w="3456"/>
          </w:tcPr>
          <w:p>
            <w:pPr>
              <w:spacing w:after="20" w:before="20"/>
            </w:pPr>
            <w:r/>
            <w:r>
              <w:rPr>
                <w:rFonts w:ascii="Arial" w:hAnsi="Arial" w:eastAsia="Arial"/>
                <w:b w:val="0"/>
                <w:i w:val="0"/>
                <w:color w:val="232830"/>
                <w:sz w:val="19"/>
              </w:rPr>
              <w:t>Constipation</w:t>
            </w:r>
          </w:p>
        </w:tc>
      </w:tr>
    </w:tbl>
    <w:p>
      <w:pPr>
        <w:spacing w:after="40" w:before="0"/>
      </w:pPr>
      <w:r>
        <w:rPr>
          <w:rFonts w:ascii="Arial" w:hAnsi="Arial" w:eastAsia="Arial"/>
          <w:b w:val="0"/>
          <w:i w:val="0"/>
          <w:color w:val="232830"/>
          <w:sz w:val="19"/>
        </w:rPr>
        <w:t>HELD at discharge — for STAGED OUTPATIENT RESTART only (do NOT resume without the cardiology/nephrology plan below):</w:t>
      </w:r>
    </w:p>
    <w:tbl>
      <w:tblPr>
        <w:tblStyle w:val="TableGrid"/>
        <w:tblW w:type="auto" w:w="0"/>
        <w:tblLayout w:type="fixed"/>
        <w:tblLook w:firstColumn="1" w:firstRow="1" w:lastColumn="0" w:lastRow="0" w:noHBand="0" w:noVBand="1" w:val="04A0"/>
      </w:tblPr>
      <w:tblGrid>
        <w:gridCol w:w="3456"/>
        <w:gridCol w:w="3456"/>
        <w:gridCol w:w="3456"/>
      </w:tblGrid>
      <w:tr>
        <w:tc>
          <w:tcPr>
            <w:tcW w:type="dxa" w:w="2448"/>
            <w:shd w:val="clear" w:color="auto" w:fill="C0504D"/>
          </w:tcPr>
          <w:p>
            <w:pPr>
              <w:spacing w:after="20" w:before="20"/>
            </w:pPr>
            <w:r/>
            <w:r>
              <w:rPr>
                <w:rFonts w:ascii="Arial" w:hAnsi="Arial" w:eastAsia="Arial"/>
                <w:b/>
                <w:i w:val="0"/>
                <w:color w:val="FFFFFF"/>
                <w:sz w:val="19"/>
              </w:rPr>
              <w:t>Medication (held)</w:t>
            </w:r>
          </w:p>
        </w:tc>
        <w:tc>
          <w:tcPr>
            <w:tcW w:type="dxa" w:w="2016"/>
            <w:shd w:val="clear" w:color="auto" w:fill="C0504D"/>
          </w:tcPr>
          <w:p>
            <w:pPr>
              <w:spacing w:after="20" w:before="20"/>
            </w:pPr>
            <w:r/>
            <w:r>
              <w:rPr>
                <w:rFonts w:ascii="Arial" w:hAnsi="Arial" w:eastAsia="Arial"/>
                <w:b/>
                <w:i w:val="0"/>
                <w:color w:val="FFFFFF"/>
                <w:sz w:val="19"/>
              </w:rPr>
              <w:t>Home dose</w:t>
            </w:r>
          </w:p>
        </w:tc>
        <w:tc>
          <w:tcPr>
            <w:tcW w:type="dxa" w:w="5040"/>
            <w:shd w:val="clear" w:color="auto" w:fill="C0504D"/>
          </w:tcPr>
          <w:p>
            <w:pPr>
              <w:spacing w:after="20" w:before="20"/>
            </w:pPr>
            <w:r/>
            <w:r>
              <w:rPr>
                <w:rFonts w:ascii="Arial" w:hAnsi="Arial" w:eastAsia="Arial"/>
                <w:b/>
                <w:i w:val="0"/>
                <w:color w:val="FFFFFF"/>
                <w:sz w:val="19"/>
              </w:rPr>
              <w:t>Reason held / restart plan</w:t>
            </w:r>
          </w:p>
        </w:tc>
      </w:tr>
      <w:tr>
        <w:tc>
          <w:tcPr>
            <w:tcW w:type="dxa" w:w="2448"/>
          </w:tcPr>
          <w:p>
            <w:pPr>
              <w:spacing w:after="20" w:before="20"/>
            </w:pPr>
            <w:r/>
            <w:r>
              <w:rPr>
                <w:rFonts w:ascii="Arial" w:hAnsi="Arial" w:eastAsia="Arial"/>
                <w:b w:val="0"/>
                <w:i w:val="0"/>
                <w:color w:val="232830"/>
                <w:sz w:val="19"/>
              </w:rPr>
              <w:t>Sacubitril/valsartan</w:t>
            </w:r>
          </w:p>
        </w:tc>
        <w:tc>
          <w:tcPr>
            <w:tcW w:type="dxa" w:w="2016"/>
          </w:tcPr>
          <w:p>
            <w:pPr>
              <w:spacing w:after="20" w:before="20"/>
            </w:pPr>
            <w:r/>
            <w:r>
              <w:rPr>
                <w:rFonts w:ascii="Arial" w:hAnsi="Arial" w:eastAsia="Arial"/>
                <w:b w:val="0"/>
                <w:i w:val="0"/>
                <w:color w:val="232830"/>
                <w:sz w:val="19"/>
              </w:rPr>
              <w:t>24/26 mg PO BID</w:t>
            </w:r>
          </w:p>
        </w:tc>
        <w:tc>
          <w:tcPr>
            <w:tcW w:type="dxa" w:w="5040"/>
          </w:tcPr>
          <w:p>
            <w:pPr>
              <w:spacing w:after="20" w:before="20"/>
            </w:pPr>
            <w:r/>
            <w:r>
              <w:rPr>
                <w:rFonts w:ascii="Arial" w:hAnsi="Arial" w:eastAsia="Arial"/>
                <w:b w:val="0"/>
                <w:i w:val="0"/>
                <w:color w:val="232830"/>
                <w:sz w:val="19"/>
              </w:rPr>
              <w:t>Held entire stay (RAAS/BP, renal). Restart per cardiology+nephrology at follow-up.</w:t>
            </w:r>
          </w:p>
        </w:tc>
      </w:tr>
      <w:tr>
        <w:tc>
          <w:tcPr>
            <w:tcW w:type="dxa" w:w="2448"/>
            <w:shd w:val="clear" w:color="auto" w:fill="F6E9E8"/>
          </w:tcPr>
          <w:p>
            <w:pPr>
              <w:spacing w:after="20" w:before="20"/>
            </w:pPr>
            <w:r/>
            <w:r>
              <w:rPr>
                <w:rFonts w:ascii="Arial" w:hAnsi="Arial" w:eastAsia="Arial"/>
                <w:b w:val="0"/>
                <w:i w:val="0"/>
                <w:color w:val="232830"/>
                <w:sz w:val="19"/>
              </w:rPr>
              <w:t>Spironolactone</w:t>
            </w:r>
          </w:p>
        </w:tc>
        <w:tc>
          <w:tcPr>
            <w:tcW w:type="dxa" w:w="2016"/>
            <w:shd w:val="clear" w:color="auto" w:fill="F6E9E8"/>
          </w:tcPr>
          <w:p>
            <w:pPr>
              <w:spacing w:after="20" w:before="20"/>
            </w:pPr>
            <w:r/>
            <w:r>
              <w:rPr>
                <w:rFonts w:ascii="Arial" w:hAnsi="Arial" w:eastAsia="Arial"/>
                <w:b w:val="0"/>
                <w:i w:val="0"/>
                <w:color w:val="232830"/>
                <w:sz w:val="19"/>
              </w:rPr>
              <w:t>25 mg PO daily</w:t>
            </w:r>
          </w:p>
        </w:tc>
        <w:tc>
          <w:tcPr>
            <w:tcW w:type="dxa" w:w="5040"/>
            <w:shd w:val="clear" w:color="auto" w:fill="F6E9E8"/>
          </w:tcPr>
          <w:p>
            <w:pPr>
              <w:spacing w:after="20" w:before="20"/>
            </w:pPr>
            <w:r/>
            <w:r>
              <w:rPr>
                <w:rFonts w:ascii="Arial" w:hAnsi="Arial" w:eastAsia="Arial"/>
                <w:b w:val="0"/>
                <w:i w:val="0"/>
                <w:color w:val="232830"/>
                <w:sz w:val="19"/>
              </w:rPr>
              <w:t>Held (AKI / potassium). Restart per cardiology+nephrology with BMP.</w:t>
            </w:r>
          </w:p>
        </w:tc>
      </w:tr>
      <w:tr>
        <w:tc>
          <w:tcPr>
            <w:tcW w:type="dxa" w:w="2448"/>
          </w:tcPr>
          <w:p>
            <w:pPr>
              <w:spacing w:after="20" w:before="20"/>
            </w:pPr>
            <w:r/>
            <w:r>
              <w:rPr>
                <w:rFonts w:ascii="Arial" w:hAnsi="Arial" w:eastAsia="Arial"/>
                <w:b w:val="0"/>
                <w:i w:val="0"/>
                <w:color w:val="232830"/>
                <w:sz w:val="19"/>
              </w:rPr>
              <w:t>Empagliflozin</w:t>
            </w:r>
          </w:p>
        </w:tc>
        <w:tc>
          <w:tcPr>
            <w:tcW w:type="dxa" w:w="2016"/>
          </w:tcPr>
          <w:p>
            <w:pPr>
              <w:spacing w:after="20" w:before="20"/>
            </w:pPr>
            <w:r/>
            <w:r>
              <w:rPr>
                <w:rFonts w:ascii="Arial" w:hAnsi="Arial" w:eastAsia="Arial"/>
                <w:b w:val="0"/>
                <w:i w:val="0"/>
                <w:color w:val="232830"/>
                <w:sz w:val="19"/>
              </w:rPr>
              <w:t>10 mg PO daily</w:t>
            </w:r>
          </w:p>
        </w:tc>
        <w:tc>
          <w:tcPr>
            <w:tcW w:type="dxa" w:w="5040"/>
          </w:tcPr>
          <w:p>
            <w:pPr>
              <w:spacing w:after="20" w:before="20"/>
            </w:pPr>
            <w:r/>
            <w:r>
              <w:rPr>
                <w:rFonts w:ascii="Arial" w:hAnsi="Arial" w:eastAsia="Arial"/>
                <w:b w:val="0"/>
                <w:i w:val="0"/>
                <w:color w:val="232830"/>
                <w:sz w:val="19"/>
              </w:rPr>
              <w:t>Held (acute illness/renal). Restart per cardiology+nephrology.</w:t>
            </w:r>
          </w:p>
        </w:tc>
      </w:tr>
      <w:tr>
        <w:tc>
          <w:tcPr>
            <w:tcW w:type="dxa" w:w="2448"/>
            <w:shd w:val="clear" w:color="auto" w:fill="F6E9E8"/>
          </w:tcPr>
          <w:p>
            <w:pPr>
              <w:spacing w:after="20" w:before="20"/>
            </w:pPr>
            <w:r/>
            <w:r>
              <w:rPr>
                <w:rFonts w:ascii="Arial" w:hAnsi="Arial" w:eastAsia="Arial"/>
                <w:b w:val="0"/>
                <w:i w:val="0"/>
                <w:color w:val="232830"/>
                <w:sz w:val="19"/>
              </w:rPr>
              <w:t>Furosemide</w:t>
            </w:r>
          </w:p>
        </w:tc>
        <w:tc>
          <w:tcPr>
            <w:tcW w:type="dxa" w:w="2016"/>
            <w:shd w:val="clear" w:color="auto" w:fill="F6E9E8"/>
          </w:tcPr>
          <w:p>
            <w:pPr>
              <w:spacing w:after="20" w:before="20"/>
            </w:pPr>
            <w:r/>
            <w:r>
              <w:rPr>
                <w:rFonts w:ascii="Arial" w:hAnsi="Arial" w:eastAsia="Arial"/>
                <w:b w:val="0"/>
                <w:i w:val="0"/>
                <w:color w:val="232830"/>
                <w:sz w:val="19"/>
              </w:rPr>
              <w:t>40 mg PO daily</w:t>
            </w:r>
          </w:p>
        </w:tc>
        <w:tc>
          <w:tcPr>
            <w:tcW w:type="dxa" w:w="5040"/>
            <w:shd w:val="clear" w:color="auto" w:fill="F6E9E8"/>
          </w:tcPr>
          <w:p>
            <w:pPr>
              <w:spacing w:after="20" w:before="20"/>
            </w:pPr>
            <w:r/>
            <w:r>
              <w:rPr>
                <w:rFonts w:ascii="Arial" w:hAnsi="Arial" w:eastAsia="Arial"/>
                <w:b w:val="0"/>
                <w:i w:val="0"/>
                <w:color w:val="232830"/>
                <w:sz w:val="19"/>
              </w:rPr>
              <w:t>Held (volume/prerenal). Resume per cardiology+nephrology guided by volume status.</w:t>
            </w:r>
          </w:p>
        </w:tc>
      </w:tr>
      <w:tr>
        <w:tc>
          <w:tcPr>
            <w:tcW w:type="dxa" w:w="2448"/>
          </w:tcPr>
          <w:p>
            <w:pPr>
              <w:spacing w:after="20" w:before="20"/>
            </w:pPr>
            <w:r/>
            <w:r>
              <w:rPr>
                <w:rFonts w:ascii="Arial" w:hAnsi="Arial" w:eastAsia="Arial"/>
                <w:b w:val="0"/>
                <w:i w:val="0"/>
                <w:color w:val="232830"/>
                <w:sz w:val="19"/>
              </w:rPr>
              <w:t>Metformin ER</w:t>
            </w:r>
          </w:p>
        </w:tc>
        <w:tc>
          <w:tcPr>
            <w:tcW w:type="dxa" w:w="2016"/>
          </w:tcPr>
          <w:p>
            <w:pPr>
              <w:spacing w:after="20" w:before="20"/>
            </w:pPr>
            <w:r/>
            <w:r>
              <w:rPr>
                <w:rFonts w:ascii="Arial" w:hAnsi="Arial" w:eastAsia="Arial"/>
                <w:b w:val="0"/>
                <w:i w:val="0"/>
                <w:color w:val="232830"/>
                <w:sz w:val="19"/>
              </w:rPr>
              <w:t>500 mg PO BID</w:t>
            </w:r>
          </w:p>
        </w:tc>
        <w:tc>
          <w:tcPr>
            <w:tcW w:type="dxa" w:w="5040"/>
          </w:tcPr>
          <w:p>
            <w:pPr>
              <w:spacing w:after="20" w:before="20"/>
            </w:pPr>
            <w:r/>
            <w:r>
              <w:rPr>
                <w:rFonts w:ascii="Arial" w:hAnsi="Arial" w:eastAsia="Arial"/>
                <w:b w:val="0"/>
                <w:i w:val="0"/>
                <w:color w:val="232830"/>
                <w:sz w:val="19"/>
              </w:rPr>
              <w:t>Held (AKI/acute illness). Restart per PCP/endocrine once renal function and intake stable.</w:t>
            </w:r>
          </w:p>
        </w:tc>
      </w:tr>
    </w:tbl>
    <w:p>
      <w:pPr>
        <w:spacing w:after="40" w:before="0"/>
      </w:pPr>
      <w:r>
        <w:rPr>
          <w:rFonts w:ascii="Arial" w:hAnsi="Arial" w:eastAsia="Arial"/>
          <w:b w:val="0"/>
          <w:i w:val="0"/>
          <w:color w:val="232830"/>
          <w:sz w:val="19"/>
        </w:rPr>
        <w:t xml:space="preserve">Prednisone (PMR) — continue the patient's current prednisone; DO NOT stop abruptly. </w:t>
      </w:r>
    </w:p>
    <w:p>
      <w:pPr>
        <w:spacing w:after="80" w:before="0"/>
      </w:pPr>
      <w:r>
        <w:rPr>
          <w:rFonts w:ascii="Arial" w:hAnsi="Arial" w:eastAsia="Arial"/>
          <w:b w:val="0"/>
          <w:i w:val="0"/>
          <w:color w:val="232830"/>
          <w:sz w:val="19"/>
        </w:rPr>
        <w:t>The most recent outpatient dispensing (05/06/2026) was prednisone 5 mg with taper-style directions, but the exact current home dose and taper could not be verified inpatient, and no source asserts a fixed number. The structured taper is to be finalized by Rheumatology (Dr. Halvek), coordinated with Endocrinology and the PCP, at outpatient follow-up. Patient/family were instructed not to self-discontinue or self-adjust, and on sick-day/stress-dose reasoning (see instructions below). Bone-health therapy (alendronate, calcium/vitamin D) continues.</w:t>
      </w:r>
    </w:p>
    <w:p>
      <w:pPr>
        <w:spacing w:after="40" w:before="0"/>
        <w:ind w:left="240"/>
      </w:pPr>
      <w:r>
        <w:rPr>
          <w:rFonts w:ascii="Arial" w:hAnsi="Arial" w:eastAsia="Arial"/>
          <w:b w:val="0"/>
          <w:i w:val="0"/>
          <w:color w:val="232830"/>
          <w:sz w:val="19"/>
        </w:rPr>
        <w:t xml:space="preserve">•  </w:t>
      </w:r>
      <w:r>
        <w:rPr>
          <w:rFonts w:ascii="Arial" w:hAnsi="Arial" w:eastAsia="Arial"/>
          <w:b/>
          <w:i w:val="0"/>
          <w:color w:val="232830"/>
          <w:sz w:val="19"/>
        </w:rPr>
        <w:t xml:space="preserve">Discontinued / inpatient-only (NOT sent home): </w:t>
      </w:r>
      <w:r>
        <w:rPr>
          <w:rFonts w:ascii="Arial" w:hAnsi="Arial" w:eastAsia="Arial"/>
          <w:b w:val="0"/>
          <w:i w:val="0"/>
          <w:color w:val="232830"/>
          <w:sz w:val="19"/>
        </w:rPr>
        <w:t>correctional (sliding-scale) insulin lispro, intravenous fluids, and intravenous/oral inpatient antibiotics (unless a finite cefpodoxime course is specified at signing).</w:t>
      </w:r>
    </w:p>
    <w:p>
      <w:pPr>
        <w:spacing w:after="40" w:before="0"/>
        <w:ind w:left="240"/>
      </w:pPr>
      <w:r>
        <w:rPr>
          <w:rFonts w:ascii="Arial" w:hAnsi="Arial" w:eastAsia="Arial"/>
          <w:b w:val="0"/>
          <w:i w:val="0"/>
          <w:color w:val="232830"/>
          <w:sz w:val="19"/>
        </w:rPr>
        <w:t xml:space="preserve">•  </w:t>
      </w:r>
      <w:r>
        <w:rPr>
          <w:rFonts w:ascii="Arial" w:hAnsi="Arial" w:eastAsia="Arial"/>
          <w:b/>
          <w:i w:val="0"/>
          <w:color w:val="232830"/>
          <w:sz w:val="19"/>
        </w:rPr>
        <w:t xml:space="preserve">Avoid: </w:t>
      </w:r>
      <w:r>
        <w:rPr>
          <w:rFonts w:ascii="Arial" w:hAnsi="Arial" w:eastAsia="Arial"/>
          <w:b w:val="0"/>
          <w:i w:val="0"/>
          <w:color w:val="232830"/>
          <w:sz w:val="19"/>
        </w:rPr>
        <w:t>NSAIDs (nephrology recommendation, CKD); ACE inhibitors (lisinopril-induced cough, class intolerance). Renal-dose any new prescription.</w:t>
      </w:r>
    </w:p>
    <w:p>
      <w:pPr>
        <w:spacing w:after="60" w:before="160"/>
      </w:pPr>
      <w:r>
        <w:rPr>
          <w:rFonts w:ascii="Arial" w:hAnsi="Arial" w:eastAsia="Arial"/>
          <w:b/>
          <w:i w:val="0"/>
          <w:color w:val="4472C4"/>
          <w:sz w:val="20"/>
        </w:rPr>
        <w:t>CARDIORENAL MEDICATION RESTART PLAN (for PCP / cardiology / nephrology)</w:t>
      </w:r>
    </w:p>
    <w:p>
      <w:pPr>
        <w:spacing w:after="80" w:before="0"/>
      </w:pPr>
      <w:r>
        <w:rPr>
          <w:rFonts w:ascii="Arial" w:hAnsi="Arial" w:eastAsia="Arial"/>
          <w:b w:val="0"/>
          <w:i w:val="0"/>
          <w:color w:val="232830"/>
          <w:sz w:val="19"/>
        </w:rPr>
        <w:t>This is the central post-discharge medication decision and is intentionally left as a staged outpatient task. Cardiology (Dr. Caldrane) and Nephrology (Dr. Solthar) are aligned: the AKI has resolved by laboratory criteria, but reserve achieved on a monitored floor is not equivalent to home reserve, so the four held agents (sacubitril/valsartan, spironolactone, empagliflozin, and the diuretic) should be reintroduced one at a time, guided by renal function, potassium, and blood-pressure/orthostatic tolerance — not restarted simultaneously. Suggested approach:</w:t>
      </w:r>
    </w:p>
    <w:p>
      <w:pPr>
        <w:spacing w:after="40" w:before="0"/>
        <w:ind w:left="240"/>
      </w:pPr>
      <w:r>
        <w:rPr>
          <w:rFonts w:ascii="Arial" w:hAnsi="Arial" w:eastAsia="Arial"/>
          <w:b w:val="0"/>
          <w:i w:val="0"/>
          <w:color w:val="232830"/>
          <w:sz w:val="19"/>
        </w:rPr>
        <w:t xml:space="preserve">•  </w:t>
      </w:r>
      <w:r>
        <w:rPr>
          <w:rFonts w:ascii="Arial" w:hAnsi="Arial" w:eastAsia="Arial"/>
          <w:b w:val="0"/>
          <w:i w:val="0"/>
          <w:color w:val="232830"/>
          <w:sz w:val="19"/>
        </w:rPr>
        <w:t>Obtain a basic metabolic panel (creatinine, potassium) and blood-pressure/orthostatic check at the early PCP visit (within 7 days) to anchor restart decisions.</w:t>
      </w:r>
    </w:p>
    <w:p>
      <w:pPr>
        <w:spacing w:after="40" w:before="0"/>
        <w:ind w:left="240"/>
      </w:pPr>
      <w:r>
        <w:rPr>
          <w:rFonts w:ascii="Arial" w:hAnsi="Arial" w:eastAsia="Arial"/>
          <w:b w:val="0"/>
          <w:i w:val="0"/>
          <w:color w:val="232830"/>
          <w:sz w:val="19"/>
        </w:rPr>
        <w:t xml:space="preserve">•  </w:t>
      </w:r>
      <w:r>
        <w:rPr>
          <w:rFonts w:ascii="Arial" w:hAnsi="Arial" w:eastAsia="Arial"/>
          <w:b w:val="0"/>
          <w:i w:val="0"/>
          <w:color w:val="232830"/>
          <w:sz w:val="19"/>
        </w:rPr>
        <w:t>Sequence reintroduction at the cardiology (≤2 weeks) and nephrology (1–2 weeks) visits, one agent at a time, with a repeat BMP after each change; bring the nephrology visit earlier if any agent is restarted.</w:t>
      </w:r>
    </w:p>
    <w:p>
      <w:pPr>
        <w:spacing w:after="40" w:before="0"/>
        <w:ind w:left="240"/>
      </w:pPr>
      <w:r>
        <w:rPr>
          <w:rFonts w:ascii="Arial" w:hAnsi="Arial" w:eastAsia="Arial"/>
          <w:b w:val="0"/>
          <w:i w:val="0"/>
          <w:color w:val="232830"/>
          <w:sz w:val="19"/>
        </w:rPr>
        <w:t xml:space="preserve">•  </w:t>
      </w:r>
      <w:r>
        <w:rPr>
          <w:rFonts w:ascii="Arial" w:hAnsi="Arial" w:eastAsia="Arial"/>
          <w:b w:val="0"/>
          <w:i w:val="0"/>
          <w:color w:val="232830"/>
          <w:sz w:val="19"/>
        </w:rPr>
        <w:t>Carvedilol is already resumed at 12.5 mg BID and should be continued; aspirin and atorvastatin continue.</w:t>
      </w:r>
    </w:p>
    <w:p>
      <w:pPr>
        <w:spacing w:after="40" w:before="0"/>
        <w:ind w:left="240"/>
      </w:pPr>
      <w:r>
        <w:rPr>
          <w:rFonts w:ascii="Arial" w:hAnsi="Arial" w:eastAsia="Arial"/>
          <w:b w:val="0"/>
          <w:i w:val="0"/>
          <w:color w:val="232830"/>
          <w:sz w:val="19"/>
        </w:rPr>
        <w:t xml:space="preserve">•  </w:t>
      </w:r>
      <w:r>
        <w:rPr>
          <w:rFonts w:ascii="Arial" w:hAnsi="Arial" w:eastAsia="Arial"/>
          <w:b w:val="0"/>
          <w:i w:val="0"/>
          <w:color w:val="232830"/>
          <w:sz w:val="19"/>
        </w:rPr>
        <w:t>Resume the diuretic (furosemide) guided by volume status; resume metformin once renal function and intake are stable (coordinate with endocrine/PCP).</w:t>
      </w:r>
    </w:p>
    <w:p>
      <w:pPr>
        <w:spacing w:after="40" w:before="0"/>
        <w:ind w:left="240"/>
      </w:pPr>
      <w:r>
        <w:rPr>
          <w:rFonts w:ascii="Arial" w:hAnsi="Arial" w:eastAsia="Arial"/>
          <w:b w:val="0"/>
          <w:i w:val="0"/>
          <w:color w:val="232830"/>
          <w:sz w:val="19"/>
        </w:rPr>
        <w:t xml:space="preserve">•  </w:t>
      </w:r>
      <w:r>
        <w:rPr>
          <w:rFonts w:ascii="Arial" w:hAnsi="Arial" w:eastAsia="Arial"/>
          <w:b w:val="0"/>
          <w:i w:val="0"/>
          <w:color w:val="232830"/>
          <w:sz w:val="19"/>
        </w:rPr>
        <w:t>Counsel on HFrEF decompensation signs (weight gain, increasing edema, orthopnea, exertional dyspnea) and angina-equivalent symptoms given prior LAD stent.</w:t>
      </w:r>
    </w:p>
    <w:p>
      <w:pPr>
        <w:spacing w:after="60" w:before="160"/>
      </w:pPr>
      <w:r>
        <w:rPr>
          <w:rFonts w:ascii="Arial" w:hAnsi="Arial" w:eastAsia="Arial"/>
          <w:b/>
          <w:i w:val="0"/>
          <w:color w:val="4472C4"/>
          <w:sz w:val="20"/>
        </w:rPr>
        <w:t>FOLLOW-UP APPOINTMENTS</w:t>
      </w:r>
    </w:p>
    <w:p>
      <w:pPr>
        <w:spacing w:after="60" w:before="0"/>
      </w:pPr>
      <w:r>
        <w:rPr>
          <w:rFonts w:ascii="Arial" w:hAnsi="Arial" w:eastAsia="Arial"/>
          <w:b w:val="0"/>
          <w:i w:val="0"/>
          <w:color w:val="232830"/>
          <w:sz w:val="19"/>
        </w:rPr>
        <w:t>Primary care to coordinate and integrate specialty recommendations. Contact numbers provided for scheduling; transportation arranged with family/plan resources (see Home Services).</w:t>
      </w:r>
    </w:p>
    <w:tbl>
      <w:tblPr>
        <w:tblStyle w:val="TableGrid"/>
        <w:tblW w:type="auto" w:w="0"/>
        <w:tblLayout w:type="fixed"/>
        <w:tblLook w:firstColumn="1" w:firstRow="1" w:lastColumn="0" w:lastRow="0" w:noHBand="0" w:noVBand="1" w:val="04A0"/>
      </w:tblPr>
      <w:tblGrid>
        <w:gridCol w:w="2592"/>
        <w:gridCol w:w="2592"/>
        <w:gridCol w:w="2592"/>
        <w:gridCol w:w="2592"/>
      </w:tblGrid>
      <w:tr>
        <w:tc>
          <w:tcPr>
            <w:tcW w:type="dxa" w:w="1584"/>
            <w:shd w:val="clear" w:color="auto" w:fill="4472C4"/>
          </w:tcPr>
          <w:p>
            <w:pPr>
              <w:spacing w:after="20" w:before="20"/>
            </w:pPr>
            <w:r/>
            <w:r>
              <w:rPr>
                <w:rFonts w:ascii="Arial" w:hAnsi="Arial" w:eastAsia="Arial"/>
                <w:b/>
                <w:i w:val="0"/>
                <w:color w:val="FFFFFF"/>
                <w:sz w:val="19"/>
              </w:rPr>
              <w:t>Service</w:t>
            </w:r>
          </w:p>
        </w:tc>
        <w:tc>
          <w:tcPr>
            <w:tcW w:type="dxa" w:w="3168"/>
            <w:shd w:val="clear" w:color="auto" w:fill="4472C4"/>
          </w:tcPr>
          <w:p>
            <w:pPr>
              <w:spacing w:after="20" w:before="20"/>
            </w:pPr>
            <w:r/>
            <w:r>
              <w:rPr>
                <w:rFonts w:ascii="Arial" w:hAnsi="Arial" w:eastAsia="Arial"/>
                <w:b/>
                <w:i w:val="0"/>
                <w:color w:val="FFFFFF"/>
                <w:sz w:val="19"/>
              </w:rPr>
              <w:t>Clinician</w:t>
            </w:r>
          </w:p>
        </w:tc>
        <w:tc>
          <w:tcPr>
            <w:tcW w:type="dxa" w:w="1584"/>
            <w:shd w:val="clear" w:color="auto" w:fill="4472C4"/>
          </w:tcPr>
          <w:p>
            <w:pPr>
              <w:spacing w:after="20" w:before="20"/>
            </w:pPr>
            <w:r/>
            <w:r>
              <w:rPr>
                <w:rFonts w:ascii="Arial" w:hAnsi="Arial" w:eastAsia="Arial"/>
                <w:b/>
                <w:i w:val="0"/>
                <w:color w:val="FFFFFF"/>
                <w:sz w:val="19"/>
              </w:rPr>
              <w:t>Timeframe</w:t>
            </w:r>
          </w:p>
        </w:tc>
        <w:tc>
          <w:tcPr>
            <w:tcW w:type="dxa" w:w="4608"/>
            <w:shd w:val="clear" w:color="auto" w:fill="4472C4"/>
          </w:tcPr>
          <w:p>
            <w:pPr>
              <w:spacing w:after="20" w:before="20"/>
            </w:pPr>
            <w:r/>
            <w:r>
              <w:rPr>
                <w:rFonts w:ascii="Arial" w:hAnsi="Arial" w:eastAsia="Arial"/>
                <w:b/>
                <w:i w:val="0"/>
                <w:color w:val="FFFFFF"/>
                <w:sz w:val="19"/>
              </w:rPr>
              <w:t>Purpose / labs</w:t>
            </w:r>
          </w:p>
        </w:tc>
      </w:tr>
      <w:tr>
        <w:tc>
          <w:tcPr>
            <w:tcW w:type="dxa" w:w="1584"/>
          </w:tcPr>
          <w:p>
            <w:pPr>
              <w:spacing w:after="20" w:before="20"/>
            </w:pPr>
            <w:r/>
            <w:r>
              <w:rPr>
                <w:rFonts w:ascii="Arial" w:hAnsi="Arial" w:eastAsia="Arial"/>
                <w:b w:val="0"/>
                <w:i w:val="0"/>
                <w:color w:val="232830"/>
                <w:sz w:val="19"/>
              </w:rPr>
              <w:t>Primary care</w:t>
            </w:r>
          </w:p>
        </w:tc>
        <w:tc>
          <w:tcPr>
            <w:tcW w:type="dxa" w:w="3168"/>
          </w:tcPr>
          <w:p>
            <w:pPr>
              <w:spacing w:after="20" w:before="20"/>
            </w:pPr>
            <w:r/>
            <w:r>
              <w:rPr>
                <w:rFonts w:ascii="Arial" w:hAnsi="Arial" w:eastAsia="Arial"/>
                <w:b w:val="0"/>
                <w:i w:val="0"/>
                <w:color w:val="232830"/>
                <w:sz w:val="19"/>
              </w:rPr>
              <w:t>Talia Quenor, MD  (412) 555-0410</w:t>
            </w:r>
          </w:p>
        </w:tc>
        <w:tc>
          <w:tcPr>
            <w:tcW w:type="dxa" w:w="1584"/>
          </w:tcPr>
          <w:p>
            <w:pPr>
              <w:spacing w:after="20" w:before="20"/>
            </w:pPr>
            <w:r/>
            <w:r>
              <w:rPr>
                <w:rFonts w:ascii="Arial" w:hAnsi="Arial" w:eastAsia="Arial"/>
                <w:b w:val="0"/>
                <w:i w:val="0"/>
                <w:color w:val="232830"/>
                <w:sz w:val="19"/>
              </w:rPr>
              <w:t>Within 7 days</w:t>
            </w:r>
          </w:p>
        </w:tc>
        <w:tc>
          <w:tcPr>
            <w:tcW w:type="dxa" w:w="4608"/>
          </w:tcPr>
          <w:p>
            <w:pPr>
              <w:spacing w:after="20" w:before="20"/>
            </w:pPr>
            <w:r/>
            <w:r>
              <w:rPr>
                <w:rFonts w:ascii="Arial" w:hAnsi="Arial" w:eastAsia="Arial"/>
                <w:b w:val="0"/>
                <w:i w:val="0"/>
                <w:color w:val="232830"/>
                <w:sz w:val="19"/>
              </w:rPr>
              <w:t>Post-hospital visit; BMP (Cr/K) + BP/orthostatics to anchor cardiorenal restart; coordinate glycemic plan</w:t>
            </w:r>
          </w:p>
        </w:tc>
      </w:tr>
      <w:tr>
        <w:tc>
          <w:tcPr>
            <w:tcW w:type="dxa" w:w="1584"/>
            <w:shd w:val="clear" w:color="auto" w:fill="EAF0FB"/>
          </w:tcPr>
          <w:p>
            <w:pPr>
              <w:spacing w:after="20" w:before="20"/>
            </w:pPr>
            <w:r/>
            <w:r>
              <w:rPr>
                <w:rFonts w:ascii="Arial" w:hAnsi="Arial" w:eastAsia="Arial"/>
                <w:b w:val="0"/>
                <w:i w:val="0"/>
                <w:color w:val="232830"/>
                <w:sz w:val="19"/>
              </w:rPr>
              <w:t>Nephrology</w:t>
            </w:r>
          </w:p>
        </w:tc>
        <w:tc>
          <w:tcPr>
            <w:tcW w:type="dxa" w:w="3168"/>
            <w:shd w:val="clear" w:color="auto" w:fill="EAF0FB"/>
          </w:tcPr>
          <w:p>
            <w:pPr>
              <w:spacing w:after="20" w:before="20"/>
            </w:pPr>
            <w:r/>
            <w:r>
              <w:rPr>
                <w:rFonts w:ascii="Arial" w:hAnsi="Arial" w:eastAsia="Arial"/>
                <w:b w:val="0"/>
                <w:i w:val="0"/>
                <w:color w:val="232830"/>
                <w:sz w:val="19"/>
              </w:rPr>
              <w:t>Iven Solthar, MD</w:t>
            </w:r>
          </w:p>
        </w:tc>
        <w:tc>
          <w:tcPr>
            <w:tcW w:type="dxa" w:w="1584"/>
            <w:shd w:val="clear" w:color="auto" w:fill="EAF0FB"/>
          </w:tcPr>
          <w:p>
            <w:pPr>
              <w:spacing w:after="20" w:before="20"/>
            </w:pPr>
            <w:r/>
            <w:r>
              <w:rPr>
                <w:rFonts w:ascii="Arial" w:hAnsi="Arial" w:eastAsia="Arial"/>
                <w:b w:val="0"/>
                <w:i w:val="0"/>
                <w:color w:val="232830"/>
                <w:sz w:val="19"/>
              </w:rPr>
              <w:t>Within 1–2 weeks</w:t>
            </w:r>
          </w:p>
        </w:tc>
        <w:tc>
          <w:tcPr>
            <w:tcW w:type="dxa" w:w="4608"/>
            <w:shd w:val="clear" w:color="auto" w:fill="EAF0FB"/>
          </w:tcPr>
          <w:p>
            <w:pPr>
              <w:spacing w:after="20" w:before="20"/>
            </w:pPr>
            <w:r/>
            <w:r>
              <w:rPr>
                <w:rFonts w:ascii="Arial" w:hAnsi="Arial" w:eastAsia="Arial"/>
                <w:b w:val="0"/>
                <w:i w:val="0"/>
                <w:color w:val="232830"/>
                <w:sz w:val="19"/>
              </w:rPr>
              <w:t>Renal recovery, electrolytes, staged restart sequencing (earlier if an agent is restarted)</w:t>
            </w:r>
          </w:p>
        </w:tc>
      </w:tr>
      <w:tr>
        <w:tc>
          <w:tcPr>
            <w:tcW w:type="dxa" w:w="1584"/>
          </w:tcPr>
          <w:p>
            <w:pPr>
              <w:spacing w:after="20" w:before="20"/>
            </w:pPr>
            <w:r/>
            <w:r>
              <w:rPr>
                <w:rFonts w:ascii="Arial" w:hAnsi="Arial" w:eastAsia="Arial"/>
                <w:b w:val="0"/>
                <w:i w:val="0"/>
                <w:color w:val="232830"/>
                <w:sz w:val="19"/>
              </w:rPr>
              <w:t>Cardiology</w:t>
            </w:r>
          </w:p>
        </w:tc>
        <w:tc>
          <w:tcPr>
            <w:tcW w:type="dxa" w:w="3168"/>
          </w:tcPr>
          <w:p>
            <w:pPr>
              <w:spacing w:after="20" w:before="20"/>
            </w:pPr>
            <w:r/>
            <w:r>
              <w:rPr>
                <w:rFonts w:ascii="Arial" w:hAnsi="Arial" w:eastAsia="Arial"/>
                <w:b w:val="0"/>
                <w:i w:val="0"/>
                <w:color w:val="232830"/>
                <w:sz w:val="19"/>
              </w:rPr>
              <w:t>Maris Caldrane, MD  (412) 555-0311</w:t>
            </w:r>
          </w:p>
        </w:tc>
        <w:tc>
          <w:tcPr>
            <w:tcW w:type="dxa" w:w="1584"/>
          </w:tcPr>
          <w:p>
            <w:pPr>
              <w:spacing w:after="20" w:before="20"/>
            </w:pPr>
            <w:r/>
            <w:r>
              <w:rPr>
                <w:rFonts w:ascii="Arial" w:hAnsi="Arial" w:eastAsia="Arial"/>
                <w:b w:val="0"/>
                <w:i w:val="0"/>
                <w:color w:val="232830"/>
                <w:sz w:val="19"/>
              </w:rPr>
              <w:t>Within 2 weeks</w:t>
            </w:r>
          </w:p>
        </w:tc>
        <w:tc>
          <w:tcPr>
            <w:tcW w:type="dxa" w:w="4608"/>
          </w:tcPr>
          <w:p>
            <w:pPr>
              <w:spacing w:after="20" w:before="20"/>
            </w:pPr>
            <w:r/>
            <w:r>
              <w:rPr>
                <w:rFonts w:ascii="Arial" w:hAnsi="Arial" w:eastAsia="Arial"/>
                <w:b w:val="0"/>
                <w:i w:val="0"/>
                <w:color w:val="232830"/>
                <w:sz w:val="19"/>
              </w:rPr>
              <w:t>GDMT restart titration; BP/orthostatic assessment; reconcile ambulatory regimen</w:t>
            </w:r>
          </w:p>
        </w:tc>
      </w:tr>
      <w:tr>
        <w:tc>
          <w:tcPr>
            <w:tcW w:type="dxa" w:w="1584"/>
            <w:shd w:val="clear" w:color="auto" w:fill="EAF0FB"/>
          </w:tcPr>
          <w:p>
            <w:pPr>
              <w:spacing w:after="20" w:before="20"/>
            </w:pPr>
            <w:r/>
            <w:r>
              <w:rPr>
                <w:rFonts w:ascii="Arial" w:hAnsi="Arial" w:eastAsia="Arial"/>
                <w:b w:val="0"/>
                <w:i w:val="0"/>
                <w:color w:val="232830"/>
                <w:sz w:val="19"/>
              </w:rPr>
              <w:t>Endocrinology</w:t>
            </w:r>
          </w:p>
        </w:tc>
        <w:tc>
          <w:tcPr>
            <w:tcW w:type="dxa" w:w="3168"/>
            <w:shd w:val="clear" w:color="auto" w:fill="EAF0FB"/>
          </w:tcPr>
          <w:p>
            <w:pPr>
              <w:spacing w:after="20" w:before="20"/>
            </w:pPr>
            <w:r/>
            <w:r>
              <w:rPr>
                <w:rFonts w:ascii="Arial" w:hAnsi="Arial" w:eastAsia="Arial"/>
                <w:b w:val="0"/>
                <w:i w:val="0"/>
                <w:color w:val="232830"/>
                <w:sz w:val="19"/>
              </w:rPr>
              <w:t>Nerea Veylorn, MD</w:t>
            </w:r>
          </w:p>
        </w:tc>
        <w:tc>
          <w:tcPr>
            <w:tcW w:type="dxa" w:w="1584"/>
            <w:shd w:val="clear" w:color="auto" w:fill="EAF0FB"/>
          </w:tcPr>
          <w:p>
            <w:pPr>
              <w:spacing w:after="20" w:before="20"/>
            </w:pPr>
            <w:r/>
            <w:r>
              <w:rPr>
                <w:rFonts w:ascii="Arial" w:hAnsi="Arial" w:eastAsia="Arial"/>
                <w:b w:val="0"/>
                <w:i w:val="0"/>
                <w:color w:val="232830"/>
                <w:sz w:val="19"/>
              </w:rPr>
              <w:t>Within 2–4 weeks</w:t>
            </w:r>
          </w:p>
        </w:tc>
        <w:tc>
          <w:tcPr>
            <w:tcW w:type="dxa" w:w="4608"/>
            <w:shd w:val="clear" w:color="auto" w:fill="EAF0FB"/>
          </w:tcPr>
          <w:p>
            <w:pPr>
              <w:spacing w:after="20" w:before="20"/>
            </w:pPr>
            <w:r/>
            <w:r>
              <w:rPr>
                <w:rFonts w:ascii="Arial" w:hAnsi="Arial" w:eastAsia="Arial"/>
                <w:b w:val="0"/>
                <w:i w:val="0"/>
                <w:color w:val="232830"/>
                <w:sz w:val="19"/>
              </w:rPr>
              <w:t>Steroid-taper coordination with rheumatology; glycemic regimen review</w:t>
            </w:r>
          </w:p>
        </w:tc>
      </w:tr>
      <w:tr>
        <w:tc>
          <w:tcPr>
            <w:tcW w:type="dxa" w:w="1584"/>
          </w:tcPr>
          <w:p>
            <w:pPr>
              <w:spacing w:after="20" w:before="20"/>
            </w:pPr>
            <w:r/>
            <w:r>
              <w:rPr>
                <w:rFonts w:ascii="Arial" w:hAnsi="Arial" w:eastAsia="Arial"/>
                <w:b w:val="0"/>
                <w:i w:val="0"/>
                <w:color w:val="232830"/>
                <w:sz w:val="19"/>
              </w:rPr>
              <w:t>Rheumatology</w:t>
            </w:r>
          </w:p>
        </w:tc>
        <w:tc>
          <w:tcPr>
            <w:tcW w:type="dxa" w:w="3168"/>
          </w:tcPr>
          <w:p>
            <w:pPr>
              <w:spacing w:after="20" w:before="20"/>
            </w:pPr>
            <w:r/>
            <w:r>
              <w:rPr>
                <w:rFonts w:ascii="Arial" w:hAnsi="Arial" w:eastAsia="Arial"/>
                <w:b w:val="0"/>
                <w:i w:val="0"/>
                <w:color w:val="232830"/>
                <w:sz w:val="19"/>
              </w:rPr>
              <w:t>Soren Halvek, MD  (412) 555-0520</w:t>
            </w:r>
          </w:p>
        </w:tc>
        <w:tc>
          <w:tcPr>
            <w:tcW w:type="dxa" w:w="1584"/>
          </w:tcPr>
          <w:p>
            <w:pPr>
              <w:spacing w:after="20" w:before="20"/>
            </w:pPr>
            <w:r/>
            <w:r>
              <w:rPr>
                <w:rFonts w:ascii="Arial" w:hAnsi="Arial" w:eastAsia="Arial"/>
                <w:b w:val="0"/>
                <w:i w:val="0"/>
                <w:color w:val="232830"/>
                <w:sz w:val="19"/>
              </w:rPr>
              <w:t>Within 2–4 weeks</w:t>
            </w:r>
          </w:p>
        </w:tc>
        <w:tc>
          <w:tcPr>
            <w:tcW w:type="dxa" w:w="4608"/>
          </w:tcPr>
          <w:p>
            <w:pPr>
              <w:spacing w:after="20" w:before="20"/>
            </w:pPr>
            <w:r/>
            <w:r>
              <w:rPr>
                <w:rFonts w:ascii="Arial" w:hAnsi="Arial" w:eastAsia="Arial"/>
                <w:b w:val="0"/>
                <w:i w:val="0"/>
                <w:color w:val="232830"/>
                <w:sz w:val="19"/>
              </w:rPr>
              <w:t>Finalize PMR prednisone taper</w:t>
            </w:r>
          </w:p>
        </w:tc>
      </w:tr>
    </w:tbl>
    <w:p>
      <w:pPr>
        <w:spacing w:after="60" w:before="160"/>
      </w:pPr>
      <w:r>
        <w:rPr>
          <w:rFonts w:ascii="Arial" w:hAnsi="Arial" w:eastAsia="Arial"/>
          <w:b/>
          <w:i w:val="0"/>
          <w:color w:val="4472C4"/>
          <w:sz w:val="20"/>
        </w:rPr>
        <w:t>HOME SERVICES, EQUIPMENT, AND COORDINATION</w:t>
      </w:r>
    </w:p>
    <w:p>
      <w:pPr>
        <w:spacing w:after="40" w:before="0"/>
        <w:ind w:left="240"/>
      </w:pPr>
      <w:r>
        <w:rPr>
          <w:rFonts w:ascii="Arial" w:hAnsi="Arial" w:eastAsia="Arial"/>
          <w:b w:val="0"/>
          <w:i w:val="0"/>
          <w:color w:val="232830"/>
          <w:sz w:val="19"/>
        </w:rPr>
        <w:t xml:space="preserve">•  </w:t>
      </w:r>
      <w:r>
        <w:rPr>
          <w:rFonts w:ascii="Arial" w:hAnsi="Arial" w:eastAsia="Arial"/>
          <w:b/>
          <w:i w:val="0"/>
          <w:color w:val="232830"/>
          <w:sz w:val="19"/>
        </w:rPr>
        <w:t xml:space="preserve">Home health nursing: </w:t>
      </w:r>
      <w:r>
        <w:rPr>
          <w:rFonts w:ascii="Arial" w:hAnsi="Arial" w:eastAsia="Arial"/>
          <w:b w:val="0"/>
          <w:i w:val="0"/>
          <w:color w:val="232830"/>
          <w:sz w:val="19"/>
        </w:rPr>
        <w:t>Early post-discharge medication review/monitoring and assessment; candidate agency Keystone HomeCare Services, (412) 555-0631. [CONFIRM agency acceptance/authorization before patient leaves.]</w:t>
      </w:r>
    </w:p>
    <w:p>
      <w:pPr>
        <w:spacing w:after="40" w:before="0"/>
        <w:ind w:left="240"/>
      </w:pPr>
      <w:r>
        <w:rPr>
          <w:rFonts w:ascii="Arial" w:hAnsi="Arial" w:eastAsia="Arial"/>
          <w:b w:val="0"/>
          <w:i w:val="0"/>
          <w:color w:val="232830"/>
          <w:sz w:val="19"/>
        </w:rPr>
        <w:t xml:space="preserve">•  </w:t>
      </w:r>
      <w:r>
        <w:rPr>
          <w:rFonts w:ascii="Arial" w:hAnsi="Arial" w:eastAsia="Arial"/>
          <w:b/>
          <w:i w:val="0"/>
          <w:color w:val="232830"/>
          <w:sz w:val="19"/>
        </w:rPr>
        <w:t xml:space="preserve">Durable medical equipment / home safety: </w:t>
      </w:r>
      <w:r>
        <w:rPr>
          <w:rFonts w:ascii="Arial" w:hAnsi="Arial" w:eastAsia="Arial"/>
          <w:b w:val="0"/>
          <w:i w:val="0"/>
          <w:color w:val="232830"/>
          <w:sz w:val="19"/>
        </w:rPr>
        <w:t>Rolling walker (not cane), bedside commode initially, and bathroom grab bars per PT; remove loose rugs from walking paths. [CONFIRM equipment delivery.]</w:t>
      </w:r>
    </w:p>
    <w:p>
      <w:pPr>
        <w:spacing w:after="40" w:before="0"/>
        <w:ind w:left="240"/>
      </w:pPr>
      <w:r>
        <w:rPr>
          <w:rFonts w:ascii="Arial" w:hAnsi="Arial" w:eastAsia="Arial"/>
          <w:b w:val="0"/>
          <w:i w:val="0"/>
          <w:color w:val="232830"/>
          <w:sz w:val="19"/>
        </w:rPr>
        <w:t xml:space="preserve">•  </w:t>
      </w:r>
      <w:r>
        <w:rPr>
          <w:rFonts w:ascii="Arial" w:hAnsi="Arial" w:eastAsia="Arial"/>
          <w:b/>
          <w:i w:val="0"/>
          <w:color w:val="232830"/>
          <w:sz w:val="19"/>
        </w:rPr>
        <w:t xml:space="preserve">Therapy: </w:t>
      </w:r>
      <w:r>
        <w:rPr>
          <w:rFonts w:ascii="Arial" w:hAnsi="Arial" w:eastAsia="Arial"/>
          <w:b w:val="0"/>
          <w:i w:val="0"/>
          <w:color w:val="232830"/>
          <w:sz w:val="19"/>
        </w:rPr>
        <w:t>Supervised mobility for the first 5–7 days; continue therapy via home or outpatient PT/OT. Outpatient OT re-evaluation for medication-management (IADL) retraining if not improved by ~30 days.</w:t>
      </w:r>
    </w:p>
    <w:p>
      <w:pPr>
        <w:spacing w:after="40" w:before="0"/>
        <w:ind w:left="240"/>
      </w:pPr>
      <w:r>
        <w:rPr>
          <w:rFonts w:ascii="Arial" w:hAnsi="Arial" w:eastAsia="Arial"/>
          <w:b w:val="0"/>
          <w:i w:val="0"/>
          <w:color w:val="232830"/>
          <w:sz w:val="19"/>
        </w:rPr>
        <w:t xml:space="preserve">•  </w:t>
      </w:r>
      <w:r>
        <w:rPr>
          <w:rFonts w:ascii="Arial" w:hAnsi="Arial" w:eastAsia="Arial"/>
          <w:b/>
          <w:i w:val="0"/>
          <w:color w:val="232830"/>
          <w:sz w:val="19"/>
        </w:rPr>
        <w:t xml:space="preserve">Pharmacy / labs: </w:t>
      </w:r>
      <w:r>
        <w:rPr>
          <w:rFonts w:ascii="Arial" w:hAnsi="Arial" w:eastAsia="Arial"/>
          <w:b w:val="0"/>
          <w:i w:val="0"/>
          <w:color w:val="232830"/>
          <w:sz w:val="19"/>
        </w:rPr>
        <w:t>Harbor Crest Community Pharmacy, 318 Mill Ridge Road, Bridgehollow, PA 15213, (412) 555-0490; coordinate first-fill timing for any changed medications. Outpatient labs: Mercy Vale Outpatient Laboratory – Harbor Crest, 215 Harbor Crest Way, Ste 110, (412) 555-0455.</w:t>
      </w:r>
    </w:p>
    <w:p>
      <w:pPr>
        <w:spacing w:after="40" w:before="0"/>
        <w:ind w:left="240"/>
      </w:pPr>
      <w:r>
        <w:rPr>
          <w:rFonts w:ascii="Arial" w:hAnsi="Arial" w:eastAsia="Arial"/>
          <w:b w:val="0"/>
          <w:i w:val="0"/>
          <w:color w:val="232830"/>
          <w:sz w:val="19"/>
        </w:rPr>
        <w:t xml:space="preserve">•  </w:t>
      </w:r>
      <w:r>
        <w:rPr>
          <w:rFonts w:ascii="Arial" w:hAnsi="Arial" w:eastAsia="Arial"/>
          <w:b/>
          <w:i w:val="0"/>
          <w:color w:val="232830"/>
          <w:sz w:val="19"/>
        </w:rPr>
        <w:t xml:space="preserve">Transportation: </w:t>
      </w:r>
      <w:r>
        <w:rPr>
          <w:rFonts w:ascii="Arial" w:hAnsi="Arial" w:eastAsia="Arial"/>
          <w:b w:val="0"/>
          <w:i w:val="0"/>
          <w:color w:val="232830"/>
          <w:sz w:val="19"/>
        </w:rPr>
        <w:t>For discharge and for the +7-day PCP visit via family vehicle (wife/daughter), plan-linked non-emergency medical transport, or community senior van. [CONFIRM arrangement.]</w:t>
      </w:r>
    </w:p>
    <w:p>
      <w:pPr>
        <w:spacing w:after="40" w:before="0"/>
        <w:ind w:left="240"/>
      </w:pPr>
      <w:r>
        <w:rPr>
          <w:rFonts w:ascii="Arial" w:hAnsi="Arial" w:eastAsia="Arial"/>
          <w:b w:val="0"/>
          <w:i w:val="0"/>
          <w:color w:val="232830"/>
          <w:sz w:val="19"/>
        </w:rPr>
        <w:t xml:space="preserve">•  </w:t>
      </w:r>
      <w:r>
        <w:rPr>
          <w:rFonts w:ascii="Arial" w:hAnsi="Arial" w:eastAsia="Arial"/>
          <w:b/>
          <w:i w:val="0"/>
          <w:color w:val="232830"/>
          <w:sz w:val="19"/>
        </w:rPr>
        <w:t xml:space="preserve">Coverage / coordinators: </w:t>
      </w:r>
      <w:r>
        <w:rPr>
          <w:rFonts w:ascii="Arial" w:hAnsi="Arial" w:eastAsia="Arial"/>
          <w:b w:val="0"/>
          <w:i w:val="0"/>
          <w:color w:val="232830"/>
          <w:sz w:val="19"/>
        </w:rPr>
        <w:t>Medicare Part A &amp; B; secondary Keystone Senior Supplement Plan G; Part D Keystone Rx. Case management: Priya Ostroff, RN, CCM; social work: Devra Aimes, LCSW; (412) 555-0162.</w:t>
      </w:r>
    </w:p>
    <w:p>
      <w:pPr>
        <w:spacing w:after="60" w:before="160"/>
      </w:pPr>
      <w:r>
        <w:rPr>
          <w:rFonts w:ascii="Arial" w:hAnsi="Arial" w:eastAsia="Arial"/>
          <w:b/>
          <w:i w:val="0"/>
          <w:color w:val="4472C4"/>
          <w:sz w:val="20"/>
        </w:rPr>
        <w:t>PATIENT AND FAMILY INSTRUCTIONS</w:t>
      </w:r>
    </w:p>
    <w:p>
      <w:pPr>
        <w:spacing w:after="60" w:before="0"/>
      </w:pPr>
      <w:r>
        <w:rPr>
          <w:rFonts w:ascii="Arial" w:hAnsi="Arial" w:eastAsia="Arial"/>
          <w:b w:val="0"/>
          <w:i w:val="0"/>
          <w:color w:val="232830"/>
          <w:sz w:val="19"/>
        </w:rPr>
        <w:t>Discharge teaching to be completed with the patient and his wife (and daughter by phone) before leaving, addressing the family's documented questions about the medication list, the held/restarted medications, the prednisone plan, supervision, and warning signs.</w:t>
      </w:r>
    </w:p>
    <w:p>
      <w:pPr>
        <w:spacing w:after="40" w:before="0"/>
        <w:ind w:left="240"/>
      </w:pPr>
      <w:r>
        <w:rPr>
          <w:rFonts w:ascii="Arial" w:hAnsi="Arial" w:eastAsia="Arial"/>
          <w:b w:val="0"/>
          <w:i w:val="0"/>
          <w:color w:val="232830"/>
          <w:sz w:val="19"/>
        </w:rPr>
        <w:t xml:space="preserve">•  </w:t>
      </w:r>
      <w:r>
        <w:rPr>
          <w:rFonts w:ascii="Arial" w:hAnsi="Arial" w:eastAsia="Arial"/>
          <w:b/>
          <w:i w:val="0"/>
          <w:color w:val="232830"/>
          <w:sz w:val="19"/>
        </w:rPr>
        <w:t xml:space="preserve">Medication safety: </w:t>
      </w:r>
      <w:r>
        <w:rPr>
          <w:rFonts w:ascii="Arial" w:hAnsi="Arial" w:eastAsia="Arial"/>
          <w:b w:val="0"/>
          <w:i w:val="0"/>
          <w:color w:val="232830"/>
          <w:sz w:val="19"/>
        </w:rPr>
        <w:t>A pre-filled weekly pill organizer should be set up and filled by family for the first weeks; Korvin should not be solely responsible for filling or for new/changed medications during this window (reproducible sorting errors were observed on OT testing).</w:t>
      </w:r>
    </w:p>
    <w:p>
      <w:pPr>
        <w:spacing w:after="40" w:before="0"/>
        <w:ind w:left="240"/>
      </w:pPr>
      <w:r>
        <w:rPr>
          <w:rFonts w:ascii="Arial" w:hAnsi="Arial" w:eastAsia="Arial"/>
          <w:b w:val="0"/>
          <w:i w:val="0"/>
          <w:color w:val="232830"/>
          <w:sz w:val="19"/>
        </w:rPr>
        <w:t xml:space="preserve">•  </w:t>
      </w:r>
      <w:r>
        <w:rPr>
          <w:rFonts w:ascii="Arial" w:hAnsi="Arial" w:eastAsia="Arial"/>
          <w:b/>
          <w:i w:val="0"/>
          <w:color w:val="232830"/>
          <w:sz w:val="19"/>
        </w:rPr>
        <w:t xml:space="preserve">Teach-back: </w:t>
      </w:r>
      <w:r>
        <w:rPr>
          <w:rFonts w:ascii="Arial" w:hAnsi="Arial" w:eastAsia="Arial"/>
          <w:b w:val="0"/>
          <w:i w:val="0"/>
          <w:color w:val="232830"/>
          <w:sz w:val="19"/>
        </w:rPr>
        <w:t>For any new or changed medication, confirm understanding at the session and again 24 hours later. Family should check at medication times for the first 5–7 days and verify the dose was actually taken.</w:t>
      </w:r>
    </w:p>
    <w:p>
      <w:pPr>
        <w:spacing w:after="40" w:before="0"/>
        <w:ind w:left="240"/>
      </w:pPr>
      <w:r>
        <w:rPr>
          <w:rFonts w:ascii="Arial" w:hAnsi="Arial" w:eastAsia="Arial"/>
          <w:b w:val="0"/>
          <w:i w:val="0"/>
          <w:color w:val="232830"/>
          <w:sz w:val="19"/>
        </w:rPr>
        <w:t xml:space="preserve">•  </w:t>
      </w:r>
      <w:r>
        <w:rPr>
          <w:rFonts w:ascii="Arial" w:hAnsi="Arial" w:eastAsia="Arial"/>
          <w:b/>
          <w:i w:val="0"/>
          <w:color w:val="232830"/>
          <w:sz w:val="19"/>
        </w:rPr>
        <w:t xml:space="preserve">Steroid / sick-day rules: </w:t>
      </w:r>
      <w:r>
        <w:rPr>
          <w:rFonts w:ascii="Arial" w:hAnsi="Arial" w:eastAsia="Arial"/>
          <w:b w:val="0"/>
          <w:i w:val="0"/>
          <w:color w:val="232830"/>
          <w:sz w:val="19"/>
        </w:rPr>
        <w:t>Continue prednisone as currently prescribed; do not stop or change it on your own. If Korvin develops a febrile illness, persistent vomiting, or significant dehydration, contact his physician promptly for stress-dose guidance rather than skipping or stopping the steroid. The long-term taper will be set by rheumatology.</w:t>
      </w:r>
    </w:p>
    <w:p>
      <w:pPr>
        <w:spacing w:after="40" w:before="0"/>
        <w:ind w:left="240"/>
      </w:pPr>
      <w:r>
        <w:rPr>
          <w:rFonts w:ascii="Arial" w:hAnsi="Arial" w:eastAsia="Arial"/>
          <w:b w:val="0"/>
          <w:i w:val="0"/>
          <w:color w:val="232830"/>
          <w:sz w:val="19"/>
        </w:rPr>
        <w:t xml:space="preserve">•  </w:t>
      </w:r>
      <w:r>
        <w:rPr>
          <w:rFonts w:ascii="Arial" w:hAnsi="Arial" w:eastAsia="Arial"/>
          <w:b/>
          <w:i w:val="0"/>
          <w:color w:val="232830"/>
          <w:sz w:val="19"/>
        </w:rPr>
        <w:t xml:space="preserve">Held medications: </w:t>
      </w:r>
      <w:r>
        <w:rPr>
          <w:rFonts w:ascii="Arial" w:hAnsi="Arial" w:eastAsia="Arial"/>
          <w:b w:val="0"/>
          <w:i w:val="0"/>
          <w:color w:val="232830"/>
          <w:sz w:val="19"/>
        </w:rPr>
        <w:t>Several heart and kidney medicines (sacubitril/valsartan, spironolactone, empagliflozin, furosemide) and metformin are intentionally on hold and will be restarted one at a time by the outpatient doctors using follow-up bloodwork and blood-pressure checks. Keep the held bottles but do not restart them until told to.</w:t>
      </w:r>
    </w:p>
    <w:p>
      <w:pPr>
        <w:spacing w:after="40" w:before="0"/>
        <w:ind w:left="240"/>
      </w:pPr>
      <w:r>
        <w:rPr>
          <w:rFonts w:ascii="Arial" w:hAnsi="Arial" w:eastAsia="Arial"/>
          <w:b w:val="0"/>
          <w:i w:val="0"/>
          <w:color w:val="232830"/>
          <w:sz w:val="19"/>
        </w:rPr>
        <w:t xml:space="preserve">•  </w:t>
      </w:r>
      <w:r>
        <w:rPr>
          <w:rFonts w:ascii="Arial" w:hAnsi="Arial" w:eastAsia="Arial"/>
          <w:b/>
          <w:i w:val="0"/>
          <w:color w:val="232830"/>
          <w:sz w:val="19"/>
        </w:rPr>
        <w:t xml:space="preserve">Mobility / falls: </w:t>
      </w:r>
      <w:r>
        <w:rPr>
          <w:rFonts w:ascii="Arial" w:hAnsi="Arial" w:eastAsia="Arial"/>
          <w:b w:val="0"/>
          <w:i w:val="0"/>
          <w:color w:val="232830"/>
          <w:sz w:val="19"/>
        </w:rPr>
        <w:t>Use the rolling walker, keep supervision for walking and transfers for the first 5–7 days, use the bedside commode at night, and keep pathways clear of loose rugs.</w:t>
      </w:r>
    </w:p>
    <w:p>
      <w:pPr>
        <w:spacing w:after="40" w:before="0"/>
        <w:ind w:left="240"/>
      </w:pPr>
      <w:r>
        <w:rPr>
          <w:rFonts w:ascii="Arial" w:hAnsi="Arial" w:eastAsia="Arial"/>
          <w:b w:val="0"/>
          <w:i w:val="0"/>
          <w:color w:val="232830"/>
          <w:sz w:val="19"/>
        </w:rPr>
        <w:t xml:space="preserve">•  </w:t>
      </w:r>
      <w:r>
        <w:rPr>
          <w:rFonts w:ascii="Arial" w:hAnsi="Arial" w:eastAsia="Arial"/>
          <w:b/>
          <w:i w:val="0"/>
          <w:color w:val="232830"/>
          <w:sz w:val="19"/>
        </w:rPr>
        <w:t xml:space="preserve">Other: </w:t>
      </w:r>
      <w:r>
        <w:rPr>
          <w:rFonts w:ascii="Arial" w:hAnsi="Arial" w:eastAsia="Arial"/>
          <w:b w:val="0"/>
          <w:i w:val="0"/>
          <w:color w:val="232830"/>
          <w:sz w:val="19"/>
        </w:rPr>
        <w:t>Resume CPAP at home; continue home glucose monitoring; keep all follow-up appointments.</w:t>
      </w:r>
    </w:p>
    <w:p>
      <w:pPr>
        <w:spacing w:after="60" w:before="160"/>
      </w:pPr>
      <w:r>
        <w:rPr>
          <w:rFonts w:ascii="Arial" w:hAnsi="Arial" w:eastAsia="Arial"/>
          <w:b/>
          <w:i w:val="0"/>
          <w:color w:val="4472C4"/>
          <w:sz w:val="20"/>
        </w:rPr>
        <w:t>RETURN PRECAUTIONS</w:t>
      </w:r>
    </w:p>
    <w:p>
      <w:pPr>
        <w:spacing w:after="120" w:before="0"/>
      </w:pPr>
      <w:r>
        <w:rPr>
          <w:rFonts w:ascii="Arial" w:hAnsi="Arial" w:eastAsia="Arial"/>
          <w:b w:val="0"/>
          <w:i w:val="0"/>
          <w:color w:val="232830"/>
          <w:sz w:val="19"/>
        </w:rPr>
        <w:t>Return to the Emergency Department or call (412) 555-0150 for: fever or chills, worsening weakness, recurrent lightheadedness or a near-fall, chest pain, shortness of breath, reduced oral intake, weight gain or increasing swelling, or any new or worsening confusion. For medication/taper questions, contact the PCP (412) 555-0410 or rheumatology (412) 555-0520.</w:t>
      </w:r>
    </w:p>
    <w:p>
      <w:pPr>
        <w:spacing w:after="60" w:before="160"/>
      </w:pPr>
      <w:r>
        <w:rPr>
          <w:rFonts w:ascii="Arial" w:hAnsi="Arial" w:eastAsia="Arial"/>
          <w:b/>
          <w:i w:val="0"/>
          <w:color w:val="4472C4"/>
          <w:sz w:val="20"/>
        </w:rPr>
        <w:t>ITEMS TO CONFIRM AT SIGN-OUT</w:t>
      </w:r>
    </w:p>
    <w:p>
      <w:pPr>
        <w:spacing w:after="40" w:before="0"/>
        <w:ind w:left="240"/>
      </w:pPr>
      <w:r>
        <w:rPr>
          <w:rFonts w:ascii="Arial" w:hAnsi="Arial" w:eastAsia="Arial"/>
          <w:b w:val="0"/>
          <w:i w:val="0"/>
          <w:color w:val="232830"/>
          <w:sz w:val="19"/>
        </w:rPr>
        <w:t xml:space="preserve">1. </w:t>
      </w:r>
      <w:r>
        <w:rPr>
          <w:rFonts w:ascii="Arial" w:hAnsi="Arial" w:eastAsia="Arial"/>
          <w:b w:val="0"/>
          <w:i w:val="0"/>
          <w:color w:val="232830"/>
          <w:sz w:val="19"/>
        </w:rPr>
        <w:t>Final urine culture organism and susceptibilities (record showed preliminary growth pending speciation; enter result or note “no final result available”).</w:t>
      </w:r>
    </w:p>
    <w:p>
      <w:pPr>
        <w:spacing w:after="40" w:before="0"/>
        <w:ind w:left="240"/>
      </w:pPr>
      <w:r>
        <w:rPr>
          <w:rFonts w:ascii="Arial" w:hAnsi="Arial" w:eastAsia="Arial"/>
          <w:b w:val="0"/>
          <w:i w:val="0"/>
          <w:color w:val="232830"/>
          <w:sz w:val="19"/>
        </w:rPr>
        <w:t xml:space="preserve">2. </w:t>
      </w:r>
      <w:r>
        <w:rPr>
          <w:rFonts w:ascii="Arial" w:hAnsi="Arial" w:eastAsia="Arial"/>
          <w:b w:val="0"/>
          <w:i w:val="0"/>
          <w:color w:val="232830"/>
          <w:sz w:val="19"/>
        </w:rPr>
        <w:t>Antibiotic stop date / total intended cefpodoxime duration (MAR flagged completion vs continuation for discharge reconciliation).</w:t>
      </w:r>
    </w:p>
    <w:p>
      <w:pPr>
        <w:spacing w:after="40" w:before="0"/>
        <w:ind w:left="240"/>
      </w:pPr>
      <w:r>
        <w:rPr>
          <w:rFonts w:ascii="Arial" w:hAnsi="Arial" w:eastAsia="Arial"/>
          <w:b w:val="0"/>
          <w:i w:val="0"/>
          <w:color w:val="232830"/>
          <w:sz w:val="19"/>
        </w:rPr>
        <w:t xml:space="preserve">3. </w:t>
      </w:r>
      <w:r>
        <w:rPr>
          <w:rFonts w:ascii="Arial" w:hAnsi="Arial" w:eastAsia="Arial"/>
          <w:b w:val="0"/>
          <w:i w:val="0"/>
          <w:color w:val="232830"/>
          <w:sz w:val="19"/>
        </w:rPr>
        <w:t>Confirmation of home health acceptance, DME delivery, and transportation before the patient physically leaves.</w:t>
      </w:r>
    </w:p>
    <w:p>
      <w:pPr>
        <w:spacing w:after="60" w:before="160"/>
      </w:pPr>
      <w:r>
        <w:rPr>
          <w:rFonts w:ascii="Arial" w:hAnsi="Arial" w:eastAsia="Arial"/>
          <w:b/>
          <w:i w:val="0"/>
          <w:color w:val="4472C4"/>
          <w:sz w:val="20"/>
        </w:rPr>
        <w:t>ATTESTATION / SIGNATURE</w:t>
      </w:r>
    </w:p>
    <w:p>
      <w:pPr>
        <w:spacing w:after="160" w:before="0"/>
      </w:pPr>
      <w:r>
        <w:rPr>
          <w:rFonts w:ascii="Arial" w:hAnsi="Arial" w:eastAsia="Arial"/>
          <w:b w:val="0"/>
          <w:i w:val="0"/>
          <w:color w:val="232830"/>
          <w:sz w:val="19"/>
        </w:rPr>
        <w:t>Discharge summary completed from the medical record on 05/24/2026 for attending review and electronic signature. Working draft originated by Elian Vossmere, MD (Hospital Medicine, NPI 1528374960); open sections completed and document finalized by the covering hospitalist team.</w:t>
      </w:r>
    </w:p>
    <w:p>
      <w:pPr>
        <w:spacing w:after="0" w:before="0"/>
      </w:pPr>
      <w:r>
        <w:rPr>
          <w:rFonts w:ascii="Arial" w:hAnsi="Arial" w:eastAsia="Arial"/>
          <w:b w:val="0"/>
          <w:i w:val="0"/>
          <w:color w:val="232830"/>
          <w:sz w:val="19"/>
        </w:rPr>
        <w:t>_________________________________________</w:t>
      </w:r>
    </w:p>
    <w:p>
      <w:pPr>
        <w:spacing w:after="0" w:before="0"/>
      </w:pPr>
      <w:r>
        <w:rPr>
          <w:rFonts w:ascii="Arial" w:hAnsi="Arial" w:eastAsia="Arial"/>
          <w:b/>
          <w:i w:val="0"/>
          <w:color w:val="232830"/>
          <w:sz w:val="19"/>
        </w:rPr>
        <w:t>Elian Vossmere, MD — Hospitalist Attending, Hospital Medicine  |  NPI 1528374960</w:t>
      </w:r>
    </w:p>
    <w:p>
      <w:pPr>
        <w:spacing w:after="0" w:before="0"/>
      </w:pPr>
      <w:r>
        <w:rPr>
          <w:rFonts w:ascii="Arial" w:hAnsi="Arial" w:eastAsia="Arial"/>
          <w:b w:val="0"/>
          <w:i w:val="0"/>
          <w:color w:val="232830"/>
          <w:sz w:val="19"/>
        </w:rPr>
        <w:t>Mercy Vale Regional Medical Center  |  Date/Time signed: ____________________</w:t>
      </w:r>
    </w:p>
    <w:p>
      <w:pPr>
        <w:spacing w:after="0" w:before="200"/>
      </w:pPr>
      <w:r>
        <w:rPr>
          <w:rFonts w:ascii="Arial" w:hAnsi="Arial" w:eastAsia="Arial"/>
          <w:b w:val="0"/>
          <w:i/>
          <w:color w:val="5E6670"/>
          <w:sz w:val="18"/>
        </w:rPr>
        <w:t>Mercy Vale Regional Medical Center — Hospital Medicine — Confidential. Discharge summary, Korvin Merrow (MRN KM-6427819, FIN KM-2026-051877). Completed from the chart on 05/24/2026; pending attending signature.</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Summary -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