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ischarge-summary"/>
    <w:p>
      <w:pPr>
        <w:pStyle w:val="Heading1"/>
      </w:pPr>
      <w:r>
        <w:t xml:space="preserve">DISCHARGE SUMMARY</w:t>
      </w:r>
    </w:p>
    <w:p>
      <w:pPr>
        <w:pStyle w:val="FirstParagraph"/>
      </w:pPr>
      <w:r>
        <w:rPr>
          <w:bCs/>
          <w:b/>
        </w:rPr>
        <w:t xml:space="preserve">Mercy Vale Regional Medical Center — Hospital Medicine, 5 West Medical</w:t>
      </w:r>
      <w:r>
        <w:t xml:space="preserve"> </w:t>
      </w:r>
      <w:r>
        <w:t xml:space="preserve">5 Harbor Crest Way, Bridgehollow, PA 15211 · Main (412) 555-0143</w:t>
      </w:r>
    </w:p>
    <w:p>
      <w:r>
        <w:pict>
          <v:rect style="width:0;height:1.5pt" o:hralign="center" o:hrstd="t" o:hr="t"/>
        </w:pict>
      </w:r>
    </w:p>
    <w:tbl>
      <w:tblPr>
        <w:tblStyle w:val="Table"/>
        <w:tblW w:type="pct" w:w="500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Patient:</w:t>
            </w:r>
            <w:r>
              <w:t xml:space="preserve"> </w:t>
            </w:r>
            <w:r>
              <w:t xml:space="preserve">Korvin Merrow</w:t>
            </w:r>
          </w:p>
        </w:tc>
        <w:tc>
          <w:tcPr/>
          <w:p>
            <w:pPr>
              <w:pStyle w:val="Compact"/>
              <w:jc w:val="left"/>
            </w:pPr>
            <w:r>
              <w:rPr>
                <w:bCs/>
                <w:b/>
              </w:rPr>
              <w:t xml:space="preserve">Sex:</w:t>
            </w:r>
            <w:r>
              <w:t xml:space="preserve"> </w:t>
            </w:r>
            <w:r>
              <w:t xml:space="preserve">Male</w:t>
            </w:r>
          </w:p>
        </w:tc>
        <w:tc>
          <w:tcPr/>
          <w:p>
            <w:pPr>
              <w:pStyle w:val="Compact"/>
              <w:jc w:val="left"/>
            </w:pPr>
            <w:r>
              <w:rPr>
                <w:bCs/>
                <w:b/>
              </w:rPr>
              <w:t xml:space="preserve">DOB:</w:t>
            </w:r>
            <w:r>
              <w:t xml:space="preserve"> </w:t>
            </w:r>
            <w:r>
              <w:t xml:space="preserve">02/18/1964 (age 62)</w:t>
            </w:r>
          </w:p>
        </w:tc>
        <w:tc>
          <w:tcPr/>
          <w:p>
            <w:pPr>
              <w:pStyle w:val="Compact"/>
              <w:jc w:val="left"/>
            </w:pPr>
            <w:r>
              <w:rPr>
                <w:bCs/>
                <w:b/>
              </w:rPr>
              <w:t xml:space="preserve">MRN:</w:t>
            </w:r>
            <w:r>
              <w:t xml:space="preserve"> </w:t>
            </w:r>
            <w:r>
              <w:t xml:space="preserve">KM-6427819</w:t>
            </w:r>
          </w:p>
        </w:tc>
      </w:tr>
      <w:tr>
        <w:tc>
          <w:tcPr/>
          <w:p>
            <w:pPr>
              <w:pStyle w:val="Compact"/>
              <w:jc w:val="left"/>
            </w:pPr>
            <w:r>
              <w:rPr>
                <w:bCs/>
                <w:b/>
              </w:rPr>
              <w:t xml:space="preserve">FIN:</w:t>
            </w:r>
            <w:r>
              <w:t xml:space="preserve"> </w:t>
            </w:r>
            <w:r>
              <w:t xml:space="preserve">KM-2026-051877</w:t>
            </w:r>
          </w:p>
        </w:tc>
        <w:tc>
          <w:tcPr/>
          <w:p>
            <w:pPr>
              <w:pStyle w:val="Compact"/>
              <w:jc w:val="left"/>
            </w:pPr>
            <w:r>
              <w:rPr>
                <w:bCs/>
                <w:b/>
              </w:rPr>
              <w:t xml:space="preserve">Unit / Room:</w:t>
            </w:r>
            <w:r>
              <w:t xml:space="preserve"> </w:t>
            </w:r>
            <w:r>
              <w:t xml:space="preserve">5 West Medical / 5W-318</w:t>
            </w:r>
          </w:p>
        </w:tc>
        <w:tc>
          <w:tcPr/>
          <w:p>
            <w:pPr>
              <w:pStyle w:val="Compact"/>
              <w:jc w:val="left"/>
            </w:pPr>
            <w:r>
              <w:rPr>
                <w:bCs/>
                <w:b/>
              </w:rPr>
              <w:t xml:space="preserve">Code status:</w:t>
            </w:r>
            <w:r>
              <w:t xml:space="preserve"> </w:t>
            </w:r>
            <w:r>
              <w:t xml:space="preserve">Full Code (confirmed 05/18/2026)</w:t>
            </w:r>
          </w:p>
        </w:tc>
        <w:tc>
          <w:tcPr/>
          <w:p>
            <w:pPr>
              <w:pStyle w:val="Compact"/>
              <w:jc w:val="left"/>
            </w:pPr>
            <w:r>
              <w:rPr>
                <w:bCs/>
                <w:b/>
              </w:rPr>
              <w:t xml:space="preserve">Allergies:</w:t>
            </w:r>
            <w:r>
              <w:t xml:space="preserve"> </w:t>
            </w:r>
            <w:r>
              <w:t xml:space="preserve">Lisinopril — cough (ACE-inhibitor intolerance)</w:t>
            </w:r>
          </w:p>
        </w:tc>
      </w:tr>
      <w:tr>
        <w:tc>
          <w:tcPr/>
          <w:p>
            <w:pPr>
              <w:pStyle w:val="Compact"/>
              <w:jc w:val="left"/>
            </w:pPr>
            <w:r>
              <w:rPr>
                <w:bCs/>
                <w:b/>
              </w:rPr>
              <w:t xml:space="preserve">Admitted:</w:t>
            </w:r>
            <w:r>
              <w:t xml:space="preserve"> </w:t>
            </w:r>
            <w:r>
              <w:t xml:space="preserve">05/18/2026 (via ED, HD1)</w:t>
            </w:r>
          </w:p>
        </w:tc>
        <w:tc>
          <w:tcPr/>
          <w:p>
            <w:pPr>
              <w:pStyle w:val="Compact"/>
              <w:jc w:val="left"/>
            </w:pPr>
            <w:r>
              <w:rPr>
                <w:bCs/>
                <w:b/>
              </w:rPr>
              <w:t xml:space="preserve">Anticipated discharge:</w:t>
            </w:r>
            <w:r>
              <w:t xml:space="preserve"> </w:t>
            </w:r>
            <w:r>
              <w:t xml:space="preserve">05/24/2026</w:t>
            </w:r>
          </w:p>
        </w:tc>
        <w:tc>
          <w:tcPr/>
          <w:p>
            <w:pPr>
              <w:pStyle w:val="Compact"/>
              <w:jc w:val="left"/>
            </w:pPr>
            <w:r>
              <w:rPr>
                <w:bCs/>
                <w:b/>
              </w:rPr>
              <w:t xml:space="preserve">Disposition:</w:t>
            </w:r>
            <w:r>
              <w:t xml:space="preserve"> </w:t>
            </w:r>
            <w:r>
              <w:t xml:space="preserve">Home with wife (caregiver/proxy); home services in coordination</w:t>
            </w:r>
          </w:p>
        </w:tc>
        <w:tc>
          <w:tcPr/>
          <w:p>
            <w:pPr>
              <w:pStyle w:val="Compact"/>
              <w:jc w:val="left"/>
            </w:pPr>
            <w:r>
              <w:rPr>
                <w:bCs/>
                <w:b/>
              </w:rPr>
              <w:t xml:space="preserve">Length of stay:</w:t>
            </w:r>
            <w:r>
              <w:t xml:space="preserve"> </w:t>
            </w:r>
            <w:r>
              <w:t xml:space="preserve">6 days (HD1–HD6) with discharge planned HD7</w:t>
            </w:r>
          </w:p>
        </w:tc>
      </w:tr>
      <w:tr>
        <w:tc>
          <w:tcPr/>
          <w:p>
            <w:pPr>
              <w:pStyle w:val="Compact"/>
              <w:jc w:val="left"/>
            </w:pPr>
            <w:r>
              <w:rPr>
                <w:bCs/>
                <w:b/>
              </w:rPr>
              <w:t xml:space="preserve">Attending:</w:t>
            </w:r>
            <w:r>
              <w:t xml:space="preserve"> </w:t>
            </w:r>
            <w:r>
              <w:t xml:space="preserve">Elian Vossmere, MD (Hospital Medicine, NPI 1528374960)</w:t>
            </w:r>
          </w:p>
        </w:tc>
        <w:tc>
          <w:tcPr/>
          <w:p>
            <w:pPr>
              <w:pStyle w:val="Compact"/>
              <w:jc w:val="left"/>
            </w:pPr>
            <w:r>
              <w:rPr>
                <w:bCs/>
                <w:b/>
              </w:rPr>
              <w:t xml:space="preserve">Resident:</w:t>
            </w:r>
            <w:r>
              <w:t xml:space="preserve"> </w:t>
            </w:r>
            <w:r>
              <w:t xml:space="preserve">Ines Travyn, MD (PGY-2)</w:t>
            </w:r>
          </w:p>
        </w:tc>
        <w:tc>
          <w:tcPr/>
          <w:p>
            <w:pPr>
              <w:pStyle w:val="Compact"/>
              <w:jc w:val="left"/>
            </w:pPr>
            <w:r>
              <w:rPr>
                <w:bCs/>
                <w:b/>
              </w:rPr>
              <w:t xml:space="preserve">PCP:</w:t>
            </w:r>
            <w:r>
              <w:t xml:space="preserve"> </w:t>
            </w:r>
            <w:r>
              <w:t xml:space="preserve">Talia Quenor, MD — Mercy Vale Primary Care, Harbor Crest Clinic, (412) 555-0410</w:t>
            </w:r>
          </w:p>
        </w:tc>
        <w:tc>
          <w:tcPr/>
          <w:p>
            <w:pPr>
              <w:pStyle w:val="Compact"/>
              <w:jc w:val="left"/>
            </w:pPr>
            <w:r>
              <w:rPr>
                <w:bCs/>
                <w:b/>
              </w:rPr>
              <w:t xml:space="preserve">Summary prepared:</w:t>
            </w:r>
            <w:r>
              <w:t xml:space="preserve"> </w:t>
            </w:r>
            <w:r>
              <w:t xml:space="preserve">05/23/2026</w:t>
            </w:r>
          </w:p>
        </w:tc>
      </w:tr>
    </w:tbl>
    <w:p>
      <w:pPr>
        <w:pStyle w:val="BlockText"/>
      </w:pPr>
      <w:r>
        <w:rPr>
          <w:bCs/>
          <w:b/>
        </w:rPr>
        <w:t xml:space="preserve">Note on timing and status.</w:t>
      </w:r>
      <w:r>
        <w:t xml:space="preserve"> </w:t>
      </w:r>
      <w:r>
        <w:t xml:space="preserve">This summary is prepared on 05/23/2026 for a planned 05/24/2026 discharge, covering the full hospitalization from ED arrival through the morning of this summary. As of the final documentation window (05/23/2026, 18:00), several transition items were still being finalized by the integrated team — most importantly the final outpatient medication-restart plan, prednisone reconciliation, home-service acceptance, equipment delivery, and transportation. These are flagged explicitly below so the PCP and outpatient team can see exactly where things stand. The discharging clinician should confirm the final medication list, culture results, and service arrangements in the discharge order before the patient leaves.</w:t>
      </w:r>
    </w:p>
    <w:p>
      <w:r>
        <w:pict>
          <v:rect style="width:0;height:1.5pt" o:hralign="center" o:hrstd="t" o:hr="t"/>
        </w:pict>
      </w:r>
    </w:p>
    <w:bookmarkStart w:id="20" w:name="discharge-diagnoses"/>
    <w:p>
      <w:pPr>
        <w:pStyle w:val="Heading2"/>
      </w:pPr>
      <w:r>
        <w:t xml:space="preserve">DISCHARGE DIAGNOSES</w:t>
      </w:r>
    </w:p>
    <w:p>
      <w:pPr>
        <w:pStyle w:val="FirstParagraph"/>
      </w:pPr>
      <w:r>
        <w:rPr>
          <w:bCs/>
          <w:b/>
        </w:rPr>
        <w:t xml:space="preserve">Primary</w:t>
      </w:r>
      <w:r>
        <w:t xml:space="preserve"> </w:t>
      </w:r>
      <w:r>
        <w:t xml:space="preserve">1. Suspected urinary-source infection / early sepsis physiology — treated empirically; clinically resolved (afebrile, leukocytosis resolved).</w:t>
      </w:r>
    </w:p>
    <w:p>
      <w:pPr>
        <w:pStyle w:val="BodyText"/>
      </w:pPr>
      <w:r>
        <w:rPr>
          <w:bCs/>
          <w:b/>
        </w:rPr>
        <w:t xml:space="preserve">Secondary / active and addressed this admission</w:t>
      </w:r>
      <w:r>
        <w:t xml:space="preserve"> </w:t>
      </w:r>
      <w:r>
        <w:t xml:space="preserve">2. Acute kidney injury on chronic kidney disease stage 3 — multifactorial (prerenal from poor intake and infection physiology, plus held nephroactive agents); resolved to laboratory baseline.</w:t>
      </w:r>
      <w:r>
        <w:t xml:space="preserve"> </w:t>
      </w:r>
      <w:r>
        <w:t xml:space="preserve">3. Heart failure with reduced ejection fraction (HFrEF) and coronary artery disease s/p remote mid-LAD drug-eluting stent (2018) — guideline-directed therapy held during acute illness; restart sequencing deferred to coordinated outpatient follow-up.</w:t>
      </w:r>
      <w:r>
        <w:t xml:space="preserve"> </w:t>
      </w:r>
      <w:r>
        <w:t xml:space="preserve">4. Type 2 diabetes mellitus — managed inpatient with basal insulin (adjusted) plus correctional insulin; oral agents held during AKI/acute illness.</w:t>
      </w:r>
      <w:r>
        <w:t xml:space="preserve"> </w:t>
      </w:r>
      <w:r>
        <w:t xml:space="preserve">5. Polymyalgia rheumatica on chronic prednisone of unverified home dose — continued on interim (non-abrupt) inpatient steroid coverage; structured taper to be finalized with outpatient rheumatology/endocrinology.</w:t>
      </w:r>
      <w:r>
        <w:t xml:space="preserve"> </w:t>
      </w:r>
      <w:r>
        <w:t xml:space="preserve">6. Functional decline and deconditioning with high fall risk (Morse 65) — near-fall at home; rolling walker, supervised mobility, and therapy follow-up arranged.</w:t>
      </w:r>
      <w:r>
        <w:t xml:space="preserve"> </w:t>
      </w:r>
      <w:r>
        <w:t xml:space="preserve">7. Altered mental status / cognitive slowing relative to baseline — multifactorial; improving, not fully returned to baseline; medication-management safety plan in place.</w:t>
      </w:r>
    </w:p>
    <w:p>
      <w:pPr>
        <w:pStyle w:val="BodyText"/>
      </w:pPr>
      <w:r>
        <w:rPr>
          <w:bCs/>
          <w:b/>
        </w:rPr>
        <w:t xml:space="preserve">Other active chronic problems</w:t>
      </w:r>
      <w:r>
        <w:t xml:space="preserve"> </w:t>
      </w:r>
      <w:r>
        <w:t xml:space="preserve">(stable, continued): essential hypertension; mixed hyperlipidemia; diabetic peripheral neuropathy; obstructive sleep apnea (CPAP, variable adherence); anemia of chronic kidney disease; steroid-associated osteoporosis/osteopenia; class I obesity; chronic GERD; chronic constipation tendency.</w:t>
      </w:r>
    </w:p>
    <w:p>
      <w:r>
        <w:pict>
          <v:rect style="width:0;height:1.5pt" o:hralign="center" o:hrstd="t" o:hr="t"/>
        </w:pict>
      </w:r>
    </w:p>
    <w:bookmarkEnd w:id="20"/>
    <w:bookmarkStart w:id="21" w:name="reason-for-admission-presenting-problem"/>
    <w:p>
      <w:pPr>
        <w:pStyle w:val="Heading2"/>
      </w:pPr>
      <w:r>
        <w:t xml:space="preserve">REASON FOR ADMISSION / PRESENTING PROBLEM</w:t>
      </w:r>
    </w:p>
    <w:p>
      <w:pPr>
        <w:pStyle w:val="FirstParagraph"/>
      </w:pPr>
      <w:r>
        <w:t xml:space="preserve">62-year-old man with HFrEF, CAD s/p remote PCI, CKD stage 3, type 2 diabetes, polymyalgia rheumatica on chronic prednisone (uncertain current dose), OSA, and related multimorbidity, brought to the ED by his wife on</w:t>
      </w:r>
      <w:r>
        <w:t xml:space="preserve"> </w:t>
      </w:r>
      <w:r>
        <w:rPr>
          <w:bCs/>
          <w:b/>
        </w:rPr>
        <w:t xml:space="preserve">05/18/2026</w:t>
      </w:r>
      <w:r>
        <w:t xml:space="preserve"> </w:t>
      </w:r>
      <w:r>
        <w:t xml:space="preserve">after roughly</w:t>
      </w:r>
      <w:r>
        <w:t xml:space="preserve"> </w:t>
      </w:r>
      <w:r>
        <w:rPr>
          <w:bCs/>
          <w:b/>
        </w:rPr>
        <w:t xml:space="preserve">three weeks of progressive decline</w:t>
      </w:r>
      <w:r>
        <w:t xml:space="preserve"> </w:t>
      </w:r>
      <w:r>
        <w:t xml:space="preserve">— reduced appetite and fluid intake, falling stamina, increasing dependence for usual tasks, intermittent evening confusion that was a deviation from his baseline, and a</w:t>
      </w:r>
      <w:r>
        <w:t xml:space="preserve"> </w:t>
      </w:r>
      <w:r>
        <w:rPr>
          <w:bCs/>
          <w:b/>
        </w:rPr>
        <w:t xml:space="preserve">near-fall at home on 05/17/2026</w:t>
      </w:r>
      <w:r>
        <w:t xml:space="preserve"> </w:t>
      </w:r>
      <w:r>
        <w:t xml:space="preserve">(no head strike, no loss of consciousness). He also reported possible urinary burning</w:t>
      </w:r>
      <w:r>
        <w:t xml:space="preserve"> </w:t>
      </w:r>
      <w:r>
        <w:t xml:space="preserve">“</w:t>
      </w:r>
      <w:r>
        <w:t xml:space="preserve">a few days back,</w:t>
      </w:r>
      <w:r>
        <w:t xml:space="preserve">”</w:t>
      </w:r>
      <w:r>
        <w:t xml:space="preserve"> </w:t>
      </w:r>
      <w:r>
        <w:t xml:space="preserve">inconsistently described. His wife Mara, the primary historian and healthcare proxy, summarized it at triage:</w:t>
      </w:r>
      <w:r>
        <w:t xml:space="preserve"> </w:t>
      </w:r>
      <w:r>
        <w:rPr>
          <w:iCs/>
          <w:i/>
        </w:rPr>
        <w:t xml:space="preserve">“</w:t>
      </w:r>
      <w:r>
        <w:rPr>
          <w:iCs/>
          <w:i/>
        </w:rPr>
        <w:t xml:space="preserve">This is not his normal. He is usually slow, but he knows what he is doing.</w:t>
      </w:r>
      <w:r>
        <w:rPr>
          <w:iCs/>
          <w:i/>
        </w:rPr>
        <w:t xml:space="preserve">”</w:t>
      </w:r>
    </w:p>
    <w:p>
      <w:r>
        <w:pict>
          <v:rect style="width:0;height:1.5pt" o:hralign="center" o:hrstd="t" o:hr="t"/>
        </w:pict>
      </w:r>
    </w:p>
    <w:bookmarkEnd w:id="21"/>
    <w:bookmarkStart w:id="23" w:name="hospital-course"/>
    <w:p>
      <w:pPr>
        <w:pStyle w:val="Heading2"/>
      </w:pPr>
      <w:r>
        <w:t xml:space="preserve">HOSPITAL COURSE</w:t>
      </w:r>
    </w:p>
    <w:p>
      <w:pPr>
        <w:pStyle w:val="FirstParagraph"/>
      </w:pPr>
      <w:r>
        <w:rPr>
          <w:iCs/>
          <w:i/>
        </w:rPr>
        <w:t xml:space="preserve">(The narrative below follows the course as it actually unfolded, day by day.)</w:t>
      </w:r>
    </w:p>
    <w:p>
      <w:pPr>
        <w:pStyle w:val="BodyText"/>
      </w:pPr>
      <w:r>
        <w:rPr>
          <w:bCs/>
          <w:b/>
        </w:rPr>
        <w:t xml:space="preserve">Emergency Department (05/18, HD1).</w:t>
      </w:r>
      <w:r>
        <w:t xml:space="preserve"> </w:t>
      </w:r>
      <w:r>
        <w:t xml:space="preserve">Triage vitals: T 100.3°F, HR 104 (sinus tachycardia), BP 102/62, SpO2 95% RA, fingerstick 218. Exam showed a mildly ill, slow-to-respond man, oriented to person and place but not date, with dry mucous membranes, reduced skin turgor, and an unsteady pivot transfer. Labs were notable for</w:t>
      </w:r>
      <w:r>
        <w:t xml:space="preserve"> </w:t>
      </w:r>
      <w:r>
        <w:rPr>
          <w:bCs/>
          <w:b/>
        </w:rPr>
        <w:t xml:space="preserve">creatinine 2.62 mg/dL</w:t>
      </w:r>
      <w:r>
        <w:t xml:space="preserve"> </w:t>
      </w:r>
      <w:r>
        <w:t xml:space="preserve">(baseline 1.6–1.8),</w:t>
      </w:r>
      <w:r>
        <w:t xml:space="preserve"> </w:t>
      </w:r>
      <w:r>
        <w:rPr>
          <w:bCs/>
          <w:b/>
        </w:rPr>
        <w:t xml:space="preserve">BUN 48</w:t>
      </w:r>
      <w:r>
        <w:t xml:space="preserve">,</w:t>
      </w:r>
      <w:r>
        <w:t xml:space="preserve"> </w:t>
      </w:r>
      <w:r>
        <w:rPr>
          <w:bCs/>
          <w:b/>
        </w:rPr>
        <w:t xml:space="preserve">potassium 5.1</w:t>
      </w:r>
      <w:r>
        <w:t xml:space="preserve">,</w:t>
      </w:r>
      <w:r>
        <w:t xml:space="preserve"> </w:t>
      </w:r>
      <w:r>
        <w:rPr>
          <w:bCs/>
          <w:b/>
        </w:rPr>
        <w:t xml:space="preserve">WBC 15.6 with left shift</w:t>
      </w:r>
      <w:r>
        <w:t xml:space="preserve">, glucose fluctuating 180–260, and a</w:t>
      </w:r>
      <w:r>
        <w:t xml:space="preserve"> </w:t>
      </w:r>
      <w:r>
        <w:rPr>
          <w:bCs/>
          <w:b/>
        </w:rPr>
        <w:t xml:space="preserve">urinalysis with pyuria, positive leukocyte esterase, and bacteriuria</w:t>
      </w:r>
      <w:r>
        <w:t xml:space="preserve">; reflex urine culture and blood cultures were drawn before antibiotics. Chest imaging and ECG showed no acute process and no troponin evidence of ACS. The ED working diagnosis was suspected urinary-source sepsis with AKI-on-CKD, dehydration, and altered mental status. Empiric renally-dosed antibiotics were started after cultures, cautious small-aliquot IV crystalloid was used in deference to HFrEF, and home antihypertensive/diuretic/cardiorenal agents were held pending reconciliation. The patient was admitted to Hospital Medicine; code status confirmed Full Code.</w:t>
      </w:r>
    </w:p>
    <w:p>
      <w:pPr>
        <w:pStyle w:val="BodyText"/>
      </w:pPr>
      <w:r>
        <w:rPr>
          <w:bCs/>
          <w:b/>
        </w:rPr>
        <w:t xml:space="preserve">HD1–HD2 (05/18–05/19) — stabilization and early response.</w:t>
      </w:r>
      <w:r>
        <w:t xml:space="preserve"> </w:t>
      </w:r>
      <w:r>
        <w:t xml:space="preserve">Empiric</w:t>
      </w:r>
      <w:r>
        <w:t xml:space="preserve"> </w:t>
      </w:r>
      <w:r>
        <w:rPr>
          <w:bCs/>
          <w:b/>
        </w:rPr>
        <w:t xml:space="preserve">ceftriaxone 1 g IV q24h</w:t>
      </w:r>
      <w:r>
        <w:t xml:space="preserve"> </w:t>
      </w:r>
      <w:r>
        <w:t xml:space="preserve">was continued. With cautious fluids the infection began to respond: Tmax fell from 38.2°C toward afebrile and</w:t>
      </w:r>
      <w:r>
        <w:t xml:space="preserve"> </w:t>
      </w:r>
      <w:r>
        <w:rPr>
          <w:bCs/>
          <w:b/>
        </w:rPr>
        <w:t xml:space="preserve">WBC 15.6 → 13.8</w:t>
      </w:r>
      <w:r>
        <w:t xml:space="preserve">;</w:t>
      </w:r>
      <w:r>
        <w:t xml:space="preserve"> </w:t>
      </w:r>
      <w:r>
        <w:rPr>
          <w:bCs/>
          <w:b/>
        </w:rPr>
        <w:t xml:space="preserve">creatinine improved 2.62 → 2.38</w:t>
      </w:r>
      <w:r>
        <w:t xml:space="preserve">, potassium 5.1 → 4.9. Poor intake improved modestly (25–40% → 40–55% of meals). Cardiology (Dr. Caldrane) and Nephrology (Dr. Solthar) were consulted on HD2 to guide the held cardiorenal regimen and define what would gate restarts. Nursing documented intermittent evening confusion (on HD1 he tried to get out of bed</w:t>
      </w:r>
      <w:r>
        <w:t xml:space="preserve"> </w:t>
      </w:r>
      <w:r>
        <w:t xml:space="preserve">“</w:t>
      </w:r>
      <w:r>
        <w:t xml:space="preserve">to check on the dog</w:t>
      </w:r>
      <w:r>
        <w:t xml:space="preserve">”</w:t>
      </w:r>
      <w:r>
        <w:t xml:space="preserve">; on HD2 he asked whether he was at the rheumatology clinic), redirected easily.</w:t>
      </w:r>
    </w:p>
    <w:p>
      <w:pPr>
        <w:pStyle w:val="BodyText"/>
      </w:pPr>
      <w:r>
        <w:rPr>
          <w:bCs/>
          <w:b/>
        </w:rPr>
        <w:t xml:space="preserve">HD3–HD4 (05/20–05/21) — continued recovery; the case broadens beyond infection.</w:t>
      </w:r>
      <w:r>
        <w:t xml:space="preserve"> </w:t>
      </w:r>
      <w:r>
        <w:t xml:space="preserve">Infection markers and renal function kept improving:</w:t>
      </w:r>
      <w:r>
        <w:t xml:space="preserve"> </w:t>
      </w:r>
      <w:r>
        <w:rPr>
          <w:bCs/>
          <w:b/>
        </w:rPr>
        <w:t xml:space="preserve">WBC 13.8 → 11.9 → 10.8</w:t>
      </w:r>
      <w:r>
        <w:t xml:space="preserve">,</w:t>
      </w:r>
      <w:r>
        <w:t xml:space="preserve"> </w:t>
      </w:r>
      <w:r>
        <w:rPr>
          <w:bCs/>
          <w:b/>
        </w:rPr>
        <w:t xml:space="preserve">creatinine 2.38 → 2.12 → 1.98</w:t>
      </w:r>
      <w:r>
        <w:t xml:space="preserve">, potassium down to 4.6, and systolics recovered into the 110–128 range. On</w:t>
      </w:r>
      <w:r>
        <w:t xml:space="preserve"> </w:t>
      </w:r>
      <w:r>
        <w:rPr>
          <w:bCs/>
          <w:b/>
        </w:rPr>
        <w:t xml:space="preserve">HD4 antibiotics were de-escalated to oral cefpodoxime 200 mg PO BID</w:t>
      </w:r>
      <w:r>
        <w:t xml:space="preserve">. PT and OT (evaluated HD3) documented that although he was improving, he remained below baseline for endurance and — importantly — for complex medication management. The team deliberately kept the frame broad: infection was a reasonable and partially confirmed driver, but residual weakness, deconditioning, cognitive slowing, and steroid-exposure questions were preserved as contributors rather than closing prematurely on infection alone.</w:t>
      </w:r>
      <w:r>
        <w:t xml:space="preserve"> </w:t>
      </w:r>
      <w:r>
        <w:rPr>
          <w:bCs/>
          <w:b/>
        </w:rPr>
        <w:t xml:space="preserve">Outpatient rheumatology provenance (Dr. Halvek) was reviewed on HD4</w:t>
      </w:r>
      <w:r>
        <w:t xml:space="preserve">, and</w:t>
      </w:r>
      <w:r>
        <w:t xml:space="preserve"> </w:t>
      </w:r>
      <w:r>
        <w:rPr>
          <w:bCs/>
          <w:b/>
        </w:rPr>
        <w:t xml:space="preserve">Endocrinology (Dr. Veylorn) was consulted</w:t>
      </w:r>
      <w:r>
        <w:t xml:space="preserve"> </w:t>
      </w:r>
      <w:r>
        <w:t xml:space="preserve">to address chronic steroid exposure and inpatient glycemic management.</w:t>
      </w:r>
    </w:p>
    <w:p>
      <w:pPr>
        <w:pStyle w:val="BodyText"/>
      </w:pPr>
      <w:r>
        <w:rPr>
          <w:bCs/>
          <w:b/>
        </w:rPr>
        <w:t xml:space="preserve">HD5–HD6 (05/22–05/23) — discharge planning; near-baseline physiology.</w:t>
      </w:r>
      <w:r>
        <w:t xml:space="preserve"> </w:t>
      </w:r>
      <w:r>
        <w:t xml:space="preserve">The patient continued to improve: afebrile,</w:t>
      </w:r>
      <w:r>
        <w:t xml:space="preserve"> </w:t>
      </w:r>
      <w:r>
        <w:rPr>
          <w:bCs/>
          <w:b/>
        </w:rPr>
        <w:t xml:space="preserve">WBC 9.9 → 9.4</w:t>
      </w:r>
      <w:r>
        <w:t xml:space="preserve">,</w:t>
      </w:r>
      <w:r>
        <w:t xml:space="preserve"> </w:t>
      </w:r>
      <w:r>
        <w:rPr>
          <w:bCs/>
          <w:b/>
        </w:rPr>
        <w:t xml:space="preserve">creatinine 1.86 → 1.80 mg/dL</w:t>
      </w:r>
      <w:r>
        <w:t xml:space="preserve"> </w:t>
      </w:r>
      <w:r>
        <w:t xml:space="preserve">(upper edge of his outpatient baseline), potassium 4.4, intake 75–90% of meals, and mobility improving with supervision. AKI-on-CKD was considered</w:t>
      </w:r>
      <w:r>
        <w:t xml:space="preserve"> </w:t>
      </w:r>
      <w:r>
        <w:rPr>
          <w:bCs/>
          <w:b/>
        </w:rPr>
        <w:t xml:space="preserve">resolved to baseline by laboratory criteria</w:t>
      </w:r>
      <w:r>
        <w:t xml:space="preserve">. A formal family care conference was held on HD5 with the hospitalist team, Case Management, and Social Work; the working discharge target of 05/24/2026 was set, and the family’s specific questions about medication changes, supervision, and prednisone were documented. Case Management (Priya Ostroff, RN, CCM) and Social Work (Devra Aimes, LCSW) engaged the transition plan.</w:t>
      </w:r>
    </w:p>
    <w:p>
      <w:pPr>
        <w:pStyle w:val="BodyText"/>
      </w:pPr>
      <w:r>
        <w:rPr>
          <w:bCs/>
          <w:b/>
        </w:rPr>
        <w:t xml:space="preserve">Key interpretive threads through the course (documented, preserved, not collapsed):</w:t>
      </w:r>
    </w:p>
    <w:p>
      <w:pPr>
        <w:numPr>
          <w:ilvl w:val="0"/>
          <w:numId w:val="1001"/>
        </w:numPr>
        <w:pStyle w:val="Compact"/>
      </w:pPr>
      <w:r>
        <w:rPr>
          <w:bCs/>
          <w:b/>
        </w:rPr>
        <w:t xml:space="preserve">GDMT restart — Cardiology vs. Nephrology.</w:t>
      </w:r>
      <w:r>
        <w:t xml:space="preserve"> </w:t>
      </w:r>
      <w:r>
        <w:t xml:space="preserve">Cardiology argued repeatedly that leaving HFrEF/CAD protective therapy held risks decompensation and 30-day readmission, and pushed to begin planning a staged restart as renal function improved; it did support</w:t>
      </w:r>
      <w:r>
        <w:t xml:space="preserve"> </w:t>
      </w:r>
      <w:r>
        <w:rPr>
          <w:bCs/>
          <w:b/>
        </w:rPr>
        <w:t xml:space="preserve">cautious reintroduction of carvedilol</w:t>
      </w:r>
      <w:r>
        <w:t xml:space="preserve">, which was in fact resumed (see below). Nephrology agreed the long-term goal was valid but was firm that a creatinine near baseline on a monitored floor does</w:t>
      </w:r>
      <w:r>
        <w:t xml:space="preserve"> </w:t>
      </w:r>
      <w:r>
        <w:rPr>
          <w:bCs/>
          <w:b/>
        </w:rPr>
        <w:t xml:space="preserve">not</w:t>
      </w:r>
      <w:r>
        <w:t xml:space="preserve"> </w:t>
      </w:r>
      <w:r>
        <w:t xml:space="preserve">equal restored physiologic reserve, and recommended a</w:t>
      </w:r>
      <w:r>
        <w:t xml:space="preserve"> </w:t>
      </w:r>
      <w:r>
        <w:rPr>
          <w:bCs/>
          <w:b/>
        </w:rPr>
        <w:t xml:space="preserve">staged, parameter-driven restart</w:t>
      </w:r>
      <w:r>
        <w:t xml:space="preserve"> </w:t>
      </w:r>
      <w:r>
        <w:t xml:space="preserve">rather than a simultaneous one. The attending held both positions as distinct and dated, restarted only carvedilol in-house, and deferred final sequencing of the remaining agents to coordinated outpatient cardiology/nephrology follow-up.</w:t>
      </w:r>
    </w:p>
    <w:p>
      <w:pPr>
        <w:numPr>
          <w:ilvl w:val="0"/>
          <w:numId w:val="1001"/>
        </w:numPr>
        <w:pStyle w:val="Compact"/>
      </w:pPr>
      <w:r>
        <w:rPr>
          <w:bCs/>
          <w:b/>
        </w:rPr>
        <w:t xml:space="preserve">Steroid exposure — Endocrinology vs. primary team.</w:t>
      </w:r>
      <w:r>
        <w:t xml:space="preserve"> </w:t>
      </w:r>
      <w:r>
        <w:t xml:space="preserve">Endocrinology framed chronic steroid exposure as a real risk substrate (bone, glycemic, infection vulnerability, possible relative adrenal insufficiency under stress) warranting safe handling and outpatient follow-through, while explicitly stating</w:t>
      </w:r>
      <w:r>
        <w:t xml:space="preserve"> </w:t>
      </w:r>
      <w:r>
        <w:rPr>
          <w:bCs/>
          <w:b/>
        </w:rPr>
        <w:t xml:space="preserve">adrenal insufficiency was NOT established</w:t>
      </w:r>
      <w:r>
        <w:t xml:space="preserve"> </w:t>
      </w:r>
      <w:r>
        <w:t xml:space="preserve">and cannot be assessed reliably during acute illness. The primary team cautioned against over-attributing the recovery lag to steroids given the measurable response to infection-oriented care. Both views were held together; the patient was kept on</w:t>
      </w:r>
      <w:r>
        <w:t xml:space="preserve"> </w:t>
      </w:r>
      <w:r>
        <w:rPr>
          <w:bCs/>
          <w:b/>
        </w:rPr>
        <w:t xml:space="preserve">interim non-abrupt steroid coverage</w:t>
      </w:r>
      <w:r>
        <w:t xml:space="preserve"> </w:t>
      </w:r>
      <w:r>
        <w:t xml:space="preserve">throughout, with the final taper deferred to the ambulatory setting.</w:t>
      </w:r>
    </w:p>
    <w:p>
      <w:pPr>
        <w:pStyle w:val="FirstParagraph"/>
      </w:pPr>
      <w:r>
        <w:t xml:space="preserve">No chest pain, ACS, arrhythmia on telemetry, or volume overload developed during the stay; nitroglycerin was available but never needed. The patient was ambulating with a rolling walker and supervision, eating well, afebrile, and near his renal baseline at the time this summary was prepared.</w:t>
      </w:r>
    </w:p>
    <w:bookmarkStart w:id="22" w:name="objective-trend-hd1-hd6"/>
    <w:p>
      <w:pPr>
        <w:pStyle w:val="Heading3"/>
      </w:pPr>
      <w:r>
        <w:t xml:space="preserve">Objective trend (HD1 → HD6)</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Parameter</w:t>
            </w:r>
          </w:p>
        </w:tc>
        <w:tc>
          <w:tcPr/>
          <w:p>
            <w:pPr>
              <w:pStyle w:val="Compact"/>
              <w:jc w:val="left"/>
            </w:pPr>
            <w:r>
              <w:t xml:space="preserve">HD1 05/18</w:t>
            </w:r>
          </w:p>
        </w:tc>
        <w:tc>
          <w:tcPr/>
          <w:p>
            <w:pPr>
              <w:pStyle w:val="Compact"/>
              <w:jc w:val="left"/>
            </w:pPr>
            <w:r>
              <w:t xml:space="preserve">HD2 05/19</w:t>
            </w:r>
          </w:p>
        </w:tc>
        <w:tc>
          <w:tcPr/>
          <w:p>
            <w:pPr>
              <w:pStyle w:val="Compact"/>
              <w:jc w:val="left"/>
            </w:pPr>
            <w:r>
              <w:t xml:space="preserve">HD3 05/20</w:t>
            </w:r>
          </w:p>
        </w:tc>
        <w:tc>
          <w:tcPr/>
          <w:p>
            <w:pPr>
              <w:pStyle w:val="Compact"/>
              <w:jc w:val="left"/>
            </w:pPr>
            <w:r>
              <w:t xml:space="preserve">HD4 05/21</w:t>
            </w:r>
          </w:p>
        </w:tc>
        <w:tc>
          <w:tcPr/>
          <w:p>
            <w:pPr>
              <w:pStyle w:val="Compact"/>
              <w:jc w:val="left"/>
            </w:pPr>
            <w:r>
              <w:t xml:space="preserve">HD5 05/22</w:t>
            </w:r>
          </w:p>
        </w:tc>
        <w:tc>
          <w:tcPr/>
          <w:p>
            <w:pPr>
              <w:pStyle w:val="Compact"/>
              <w:jc w:val="left"/>
            </w:pPr>
            <w:r>
              <w:t xml:space="preserve">HD6 05/23</w:t>
            </w:r>
          </w:p>
        </w:tc>
        <w:tc>
          <w:tcPr/>
          <w:p>
            <w:pPr>
              <w:pStyle w:val="Compact"/>
              <w:jc w:val="left"/>
            </w:pPr>
            <w:r>
              <w:t xml:space="preserve">Baseline</w:t>
            </w:r>
          </w:p>
        </w:tc>
      </w:tr>
      <w:tr>
        <w:tc>
          <w:tcPr/>
          <w:p>
            <w:pPr>
              <w:pStyle w:val="Compact"/>
              <w:jc w:val="left"/>
            </w:pPr>
            <w:r>
              <w:t xml:space="preserve">Creatinine (mg/dL)</w:t>
            </w:r>
          </w:p>
        </w:tc>
        <w:tc>
          <w:tcPr/>
          <w:p>
            <w:pPr>
              <w:pStyle w:val="Compact"/>
              <w:jc w:val="left"/>
            </w:pPr>
            <w:r>
              <w:t xml:space="preserve">2.62</w:t>
            </w:r>
          </w:p>
        </w:tc>
        <w:tc>
          <w:tcPr/>
          <w:p>
            <w:pPr>
              <w:pStyle w:val="Compact"/>
              <w:jc w:val="left"/>
            </w:pPr>
            <w:r>
              <w:t xml:space="preserve">2.38</w:t>
            </w:r>
          </w:p>
        </w:tc>
        <w:tc>
          <w:tcPr/>
          <w:p>
            <w:pPr>
              <w:pStyle w:val="Compact"/>
              <w:jc w:val="left"/>
            </w:pPr>
            <w:r>
              <w:t xml:space="preserve">2.12</w:t>
            </w:r>
          </w:p>
        </w:tc>
        <w:tc>
          <w:tcPr/>
          <w:p>
            <w:pPr>
              <w:pStyle w:val="Compact"/>
              <w:jc w:val="left"/>
            </w:pPr>
            <w:r>
              <w:t xml:space="preserve">1.98</w:t>
            </w:r>
          </w:p>
        </w:tc>
        <w:tc>
          <w:tcPr/>
          <w:p>
            <w:pPr>
              <w:pStyle w:val="Compact"/>
              <w:jc w:val="left"/>
            </w:pPr>
            <w:r>
              <w:t xml:space="preserve">1.86</w:t>
            </w:r>
          </w:p>
        </w:tc>
        <w:tc>
          <w:tcPr/>
          <w:p>
            <w:pPr>
              <w:pStyle w:val="Compact"/>
              <w:jc w:val="left"/>
            </w:pPr>
            <w:r>
              <w:t xml:space="preserve">1.80</w:t>
            </w:r>
          </w:p>
        </w:tc>
        <w:tc>
          <w:tcPr/>
          <w:p>
            <w:pPr>
              <w:pStyle w:val="Compact"/>
              <w:jc w:val="left"/>
            </w:pPr>
            <w:r>
              <w:t xml:space="preserve">1.6–1.8</w:t>
            </w:r>
          </w:p>
        </w:tc>
      </w:tr>
      <w:tr>
        <w:tc>
          <w:tcPr/>
          <w:p>
            <w:pPr>
              <w:pStyle w:val="Compact"/>
              <w:jc w:val="left"/>
            </w:pPr>
            <w:r>
              <w:t xml:space="preserve">BUN (mg/dL)</w:t>
            </w:r>
          </w:p>
        </w:tc>
        <w:tc>
          <w:tcPr/>
          <w:p>
            <w:pPr>
              <w:pStyle w:val="Compact"/>
              <w:jc w:val="left"/>
            </w:pPr>
            <w:r>
              <w:t xml:space="preserve">48</w:t>
            </w:r>
          </w:p>
        </w:tc>
        <w:tc>
          <w:tcPr/>
          <w:p>
            <w:pPr>
              <w:pStyle w:val="Compact"/>
              <w:jc w:val="left"/>
            </w:pPr>
            <w:r>
              <w:t xml:space="preserve">45</w:t>
            </w:r>
          </w:p>
        </w:tc>
        <w:tc>
          <w:tcPr/>
          <w:p>
            <w:pPr>
              <w:pStyle w:val="Compact"/>
              <w:jc w:val="left"/>
            </w:pPr>
            <w:r>
              <w:t xml:space="preserve">39</w:t>
            </w:r>
          </w:p>
        </w:tc>
        <w:tc>
          <w:tcPr/>
          <w:p>
            <w:pPr>
              <w:pStyle w:val="Compact"/>
              <w:jc w:val="left"/>
            </w:pPr>
            <w:r>
              <w:t xml:space="preserve">35</w:t>
            </w:r>
          </w:p>
        </w:tc>
        <w:tc>
          <w:tcPr/>
          <w:p>
            <w:pPr>
              <w:pStyle w:val="Compact"/>
              <w:jc w:val="left"/>
            </w:pPr>
            <w:r>
              <w:t xml:space="preserve">31</w:t>
            </w:r>
          </w:p>
        </w:tc>
        <w:tc>
          <w:tcPr/>
          <w:p>
            <w:pPr>
              <w:pStyle w:val="Compact"/>
              <w:jc w:val="left"/>
            </w:pPr>
            <w:r>
              <w:t xml:space="preserve">29</w:t>
            </w:r>
          </w:p>
        </w:tc>
        <w:tc>
          <w:tcPr/>
          <w:p>
            <w:pPr>
              <w:pStyle w:val="Compact"/>
              <w:jc w:val="left"/>
            </w:pPr>
            <w:r>
              <w:t xml:space="preserve">—</w:t>
            </w:r>
          </w:p>
        </w:tc>
      </w:tr>
      <w:tr>
        <w:tc>
          <w:tcPr/>
          <w:p>
            <w:pPr>
              <w:pStyle w:val="Compact"/>
              <w:jc w:val="left"/>
            </w:pPr>
            <w:r>
              <w:t xml:space="preserve">Potassium (mmol/L)</w:t>
            </w:r>
          </w:p>
        </w:tc>
        <w:tc>
          <w:tcPr/>
          <w:p>
            <w:pPr>
              <w:pStyle w:val="Compact"/>
              <w:jc w:val="left"/>
            </w:pPr>
            <w:r>
              <w:t xml:space="preserve">5.1</w:t>
            </w:r>
          </w:p>
        </w:tc>
        <w:tc>
          <w:tcPr/>
          <w:p>
            <w:pPr>
              <w:pStyle w:val="Compact"/>
              <w:jc w:val="left"/>
            </w:pPr>
            <w:r>
              <w:t xml:space="preserve">4.9</w:t>
            </w:r>
          </w:p>
        </w:tc>
        <w:tc>
          <w:tcPr/>
          <w:p>
            <w:pPr>
              <w:pStyle w:val="Compact"/>
              <w:jc w:val="left"/>
            </w:pPr>
            <w:r>
              <w:t xml:space="preserve">4.7</w:t>
            </w:r>
          </w:p>
        </w:tc>
        <w:tc>
          <w:tcPr/>
          <w:p>
            <w:pPr>
              <w:pStyle w:val="Compact"/>
              <w:jc w:val="left"/>
            </w:pPr>
            <w:r>
              <w:t xml:space="preserve">4.6</w:t>
            </w:r>
          </w:p>
        </w:tc>
        <w:tc>
          <w:tcPr/>
          <w:p>
            <w:pPr>
              <w:pStyle w:val="Compact"/>
              <w:jc w:val="left"/>
            </w:pPr>
            <w:r>
              <w:t xml:space="preserve">4.5</w:t>
            </w:r>
          </w:p>
        </w:tc>
        <w:tc>
          <w:tcPr/>
          <w:p>
            <w:pPr>
              <w:pStyle w:val="Compact"/>
              <w:jc w:val="left"/>
            </w:pPr>
            <w:r>
              <w:t xml:space="preserve">4.4</w:t>
            </w:r>
          </w:p>
        </w:tc>
        <w:tc>
          <w:tcPr/>
          <w:p>
            <w:pPr>
              <w:pStyle w:val="Compact"/>
              <w:jc w:val="left"/>
            </w:pPr>
            <w:r>
              <w:t xml:space="preserve">—</w:t>
            </w:r>
          </w:p>
        </w:tc>
      </w:tr>
      <w:tr>
        <w:tc>
          <w:tcPr/>
          <w:p>
            <w:pPr>
              <w:pStyle w:val="Compact"/>
              <w:jc w:val="left"/>
            </w:pPr>
            <w:r>
              <w:t xml:space="preserve">WBC (k/µL)</w:t>
            </w:r>
          </w:p>
        </w:tc>
        <w:tc>
          <w:tcPr/>
          <w:p>
            <w:pPr>
              <w:pStyle w:val="Compact"/>
              <w:jc w:val="left"/>
            </w:pPr>
            <w:r>
              <w:t xml:space="preserve">15.6</w:t>
            </w:r>
          </w:p>
        </w:tc>
        <w:tc>
          <w:tcPr/>
          <w:p>
            <w:pPr>
              <w:pStyle w:val="Compact"/>
              <w:jc w:val="left"/>
            </w:pPr>
            <w:r>
              <w:t xml:space="preserve">13.8</w:t>
            </w:r>
          </w:p>
        </w:tc>
        <w:tc>
          <w:tcPr/>
          <w:p>
            <w:pPr>
              <w:pStyle w:val="Compact"/>
              <w:jc w:val="left"/>
            </w:pPr>
            <w:r>
              <w:t xml:space="preserve">11.9</w:t>
            </w:r>
          </w:p>
        </w:tc>
        <w:tc>
          <w:tcPr/>
          <w:p>
            <w:pPr>
              <w:pStyle w:val="Compact"/>
              <w:jc w:val="left"/>
            </w:pPr>
            <w:r>
              <w:t xml:space="preserve">10.8</w:t>
            </w:r>
          </w:p>
        </w:tc>
        <w:tc>
          <w:tcPr/>
          <w:p>
            <w:pPr>
              <w:pStyle w:val="Compact"/>
              <w:jc w:val="left"/>
            </w:pPr>
            <w:r>
              <w:t xml:space="preserve">9.9</w:t>
            </w:r>
          </w:p>
        </w:tc>
        <w:tc>
          <w:tcPr/>
          <w:p>
            <w:pPr>
              <w:pStyle w:val="Compact"/>
              <w:jc w:val="left"/>
            </w:pPr>
            <w:r>
              <w:t xml:space="preserve">9.4</w:t>
            </w:r>
          </w:p>
        </w:tc>
        <w:tc>
          <w:tcPr/>
          <w:p>
            <w:pPr>
              <w:pStyle w:val="Compact"/>
              <w:jc w:val="left"/>
            </w:pPr>
            <w:r>
              <w:t xml:space="preserve">—</w:t>
            </w:r>
          </w:p>
        </w:tc>
      </w:tr>
      <w:tr>
        <w:tc>
          <w:tcPr/>
          <w:p>
            <w:pPr>
              <w:pStyle w:val="Compact"/>
              <w:jc w:val="left"/>
            </w:pPr>
            <w:r>
              <w:t xml:space="preserve">SBP range (mmHg)</w:t>
            </w:r>
          </w:p>
        </w:tc>
        <w:tc>
          <w:tcPr/>
          <w:p>
            <w:pPr>
              <w:pStyle w:val="Compact"/>
              <w:jc w:val="left"/>
            </w:pPr>
            <w:r>
              <w:t xml:space="preserve">96–110</w:t>
            </w:r>
          </w:p>
        </w:tc>
        <w:tc>
          <w:tcPr/>
          <w:p>
            <w:pPr>
              <w:pStyle w:val="Compact"/>
              <w:jc w:val="left"/>
            </w:pPr>
            <w:r>
              <w:t xml:space="preserve">100–118</w:t>
            </w:r>
          </w:p>
        </w:tc>
        <w:tc>
          <w:tcPr/>
          <w:p>
            <w:pPr>
              <w:pStyle w:val="Compact"/>
              <w:jc w:val="left"/>
            </w:pPr>
            <w:r>
              <w:t xml:space="preserve">106–124</w:t>
            </w:r>
          </w:p>
        </w:tc>
        <w:tc>
          <w:tcPr/>
          <w:p>
            <w:pPr>
              <w:pStyle w:val="Compact"/>
              <w:jc w:val="left"/>
            </w:pPr>
            <w:r>
              <w:t xml:space="preserve">110–128</w:t>
            </w:r>
          </w:p>
        </w:tc>
        <w:tc>
          <w:tcPr/>
          <w:p>
            <w:pPr>
              <w:pStyle w:val="Compact"/>
              <w:jc w:val="left"/>
            </w:pPr>
            <w:r>
              <w:t xml:space="preserve">112–128</w:t>
            </w:r>
          </w:p>
        </w:tc>
        <w:tc>
          <w:tcPr/>
          <w:p>
            <w:pPr>
              <w:pStyle w:val="Compact"/>
              <w:jc w:val="left"/>
            </w:pPr>
            <w:r>
              <w:t xml:space="preserve">114–130</w:t>
            </w:r>
          </w:p>
        </w:tc>
        <w:tc>
          <w:tcPr/>
          <w:p>
            <w:pPr>
              <w:pStyle w:val="Compact"/>
              <w:jc w:val="left"/>
            </w:pPr>
            <w:r>
              <w:t xml:space="preserve">low-normal</w:t>
            </w:r>
          </w:p>
        </w:tc>
      </w:tr>
      <w:tr>
        <w:tc>
          <w:tcPr/>
          <w:p>
            <w:pPr>
              <w:pStyle w:val="Compact"/>
              <w:jc w:val="left"/>
            </w:pPr>
            <w:r>
              <w:t xml:space="preserve">Glucose range (mg/dL)</w:t>
            </w:r>
          </w:p>
        </w:tc>
        <w:tc>
          <w:tcPr/>
          <w:p>
            <w:pPr>
              <w:pStyle w:val="Compact"/>
              <w:jc w:val="left"/>
            </w:pPr>
            <w:r>
              <w:t xml:space="preserve">180–260</w:t>
            </w:r>
          </w:p>
        </w:tc>
        <w:tc>
          <w:tcPr/>
          <w:p>
            <w:pPr>
              <w:pStyle w:val="Compact"/>
              <w:jc w:val="left"/>
            </w:pPr>
            <w:r>
              <w:t xml:space="preserve">170–250</w:t>
            </w:r>
          </w:p>
        </w:tc>
        <w:tc>
          <w:tcPr/>
          <w:p>
            <w:pPr>
              <w:pStyle w:val="Compact"/>
              <w:jc w:val="left"/>
            </w:pPr>
            <w:r>
              <w:t xml:space="preserve">160–240</w:t>
            </w:r>
          </w:p>
        </w:tc>
        <w:tc>
          <w:tcPr/>
          <w:p>
            <w:pPr>
              <w:pStyle w:val="Compact"/>
              <w:jc w:val="left"/>
            </w:pPr>
            <w:r>
              <w:t xml:space="preserve">160–270</w:t>
            </w:r>
          </w:p>
        </w:tc>
        <w:tc>
          <w:tcPr/>
          <w:p>
            <w:pPr>
              <w:pStyle w:val="Compact"/>
              <w:jc w:val="left"/>
            </w:pPr>
            <w:r>
              <w:t xml:space="preserve">150–260</w:t>
            </w:r>
          </w:p>
        </w:tc>
        <w:tc>
          <w:tcPr/>
          <w:p>
            <w:pPr>
              <w:pStyle w:val="Compact"/>
              <w:jc w:val="left"/>
            </w:pPr>
            <w:r>
              <w:t xml:space="preserve">140–250</w:t>
            </w:r>
          </w:p>
        </w:tc>
        <w:tc>
          <w:tcPr/>
          <w:p>
            <w:pPr>
              <w:pStyle w:val="Compact"/>
              <w:jc w:val="left"/>
            </w:pPr>
            <w:r>
              <w:t xml:space="preserve">A1c 7.6–8.2%</w:t>
            </w:r>
          </w:p>
        </w:tc>
      </w:tr>
      <w:tr>
        <w:tc>
          <w:tcPr/>
          <w:p>
            <w:pPr>
              <w:pStyle w:val="Compact"/>
              <w:jc w:val="left"/>
            </w:pPr>
            <w:r>
              <w:t xml:space="preserve">Temp</w:t>
            </w:r>
          </w:p>
        </w:tc>
        <w:tc>
          <w:tcPr/>
          <w:p>
            <w:pPr>
              <w:pStyle w:val="Compact"/>
              <w:jc w:val="left"/>
            </w:pPr>
            <w:r>
              <w:t xml:space="preserve">febrile, improving</w:t>
            </w:r>
          </w:p>
        </w:tc>
        <w:tc>
          <w:tcPr/>
          <w:p>
            <w:pPr>
              <w:pStyle w:val="Compact"/>
              <w:jc w:val="left"/>
            </w:pPr>
            <w:r>
              <w:t xml:space="preserve">lower fever</w:t>
            </w:r>
          </w:p>
        </w:tc>
        <w:tc>
          <w:tcPr/>
          <w:p>
            <w:pPr>
              <w:pStyle w:val="Compact"/>
              <w:jc w:val="left"/>
            </w:pPr>
            <w:r>
              <w:t xml:space="preserve">afebrile</w:t>
            </w:r>
          </w:p>
        </w:tc>
        <w:tc>
          <w:tcPr/>
          <w:p>
            <w:pPr>
              <w:pStyle w:val="Compact"/>
              <w:jc w:val="left"/>
            </w:pPr>
            <w:r>
              <w:t xml:space="preserve">afebrile</w:t>
            </w:r>
          </w:p>
        </w:tc>
        <w:tc>
          <w:tcPr/>
          <w:p>
            <w:pPr>
              <w:pStyle w:val="Compact"/>
              <w:jc w:val="left"/>
            </w:pPr>
            <w:r>
              <w:t xml:space="preserve">afebrile</w:t>
            </w:r>
          </w:p>
        </w:tc>
        <w:tc>
          <w:tcPr/>
          <w:p>
            <w:pPr>
              <w:pStyle w:val="Compact"/>
              <w:jc w:val="left"/>
            </w:pPr>
            <w:r>
              <w:t xml:space="preserve">afebrile</w:t>
            </w:r>
          </w:p>
        </w:tc>
        <w:tc>
          <w:tcPr/>
          <w:p>
            <w:pPr>
              <w:pStyle w:val="Compact"/>
              <w:jc w:val="left"/>
            </w:pPr>
            <w:r>
              <w:t xml:space="preserve">—</w:t>
            </w:r>
          </w:p>
        </w:tc>
      </w:tr>
      <w:tr>
        <w:tc>
          <w:tcPr/>
          <w:p>
            <w:pPr>
              <w:pStyle w:val="Compact"/>
              <w:jc w:val="left"/>
            </w:pPr>
            <w:r>
              <w:t xml:space="preserve">Meal intake</w:t>
            </w:r>
          </w:p>
        </w:tc>
        <w:tc>
          <w:tcPr/>
          <w:p>
            <w:pPr>
              <w:pStyle w:val="Compact"/>
              <w:jc w:val="left"/>
            </w:pPr>
            <w:r>
              <w:t xml:space="preserve">25–40%</w:t>
            </w:r>
          </w:p>
        </w:tc>
        <w:tc>
          <w:tcPr/>
          <w:p>
            <w:pPr>
              <w:pStyle w:val="Compact"/>
              <w:jc w:val="left"/>
            </w:pPr>
            <w:r>
              <w:t xml:space="preserve">40–55%</w:t>
            </w:r>
          </w:p>
        </w:tc>
        <w:tc>
          <w:tcPr/>
          <w:p>
            <w:pPr>
              <w:pStyle w:val="Compact"/>
              <w:jc w:val="left"/>
            </w:pPr>
            <w:r>
              <w:t xml:space="preserve">55–70%</w:t>
            </w:r>
          </w:p>
        </w:tc>
        <w:tc>
          <w:tcPr/>
          <w:p>
            <w:pPr>
              <w:pStyle w:val="Compact"/>
              <w:jc w:val="left"/>
            </w:pPr>
            <w:r>
              <w:t xml:space="preserve">50–75%</w:t>
            </w:r>
          </w:p>
        </w:tc>
        <w:tc>
          <w:tcPr/>
          <w:p>
            <w:pPr>
              <w:pStyle w:val="Compact"/>
              <w:jc w:val="left"/>
            </w:pPr>
            <w:r>
              <w:t xml:space="preserve">70–85%</w:t>
            </w:r>
          </w:p>
        </w:tc>
        <w:tc>
          <w:tcPr/>
          <w:p>
            <w:pPr>
              <w:pStyle w:val="Compact"/>
              <w:jc w:val="left"/>
            </w:pPr>
            <w:r>
              <w:t xml:space="preserve">75–90%</w:t>
            </w:r>
          </w:p>
        </w:tc>
        <w:tc>
          <w:tcPr/>
          <w:p>
            <w:pPr>
              <w:pStyle w:val="Compact"/>
              <w:jc w:val="left"/>
            </w:pPr>
            <w:r>
              <w:t xml:space="preserve">—</w:t>
            </w:r>
          </w:p>
        </w:tc>
      </w:tr>
    </w:tbl>
    <w:p>
      <w:r>
        <w:pict>
          <v:rect style="width:0;height:1.5pt" o:hralign="center" o:hrstd="t" o:hr="t"/>
        </w:pict>
      </w:r>
    </w:p>
    <w:bookmarkEnd w:id="22"/>
    <w:bookmarkEnd w:id="23"/>
    <w:bookmarkStart w:id="24" w:name="procedures-consults-this-admission"/>
    <w:p>
      <w:pPr>
        <w:pStyle w:val="Heading2"/>
      </w:pPr>
      <w:r>
        <w:t xml:space="preserve">PROCEDURES / CONSULTS THIS ADMISSION</w:t>
      </w:r>
    </w:p>
    <w:p>
      <w:pPr>
        <w:numPr>
          <w:ilvl w:val="0"/>
          <w:numId w:val="1002"/>
        </w:numPr>
        <w:pStyle w:val="Compact"/>
      </w:pPr>
      <w:r>
        <w:rPr>
          <w:bCs/>
          <w:b/>
        </w:rPr>
        <w:t xml:space="preserve">No invasive procedures.</w:t>
      </w:r>
      <w:r>
        <w:t xml:space="preserve"> </w:t>
      </w:r>
      <w:r>
        <w:t xml:space="preserve">No central access, no dialysis, no cardiac procedure; telemetry monitoring only.</w:t>
      </w:r>
    </w:p>
    <w:p>
      <w:pPr>
        <w:numPr>
          <w:ilvl w:val="0"/>
          <w:numId w:val="1002"/>
        </w:numPr>
        <w:pStyle w:val="Compact"/>
      </w:pPr>
      <w:r>
        <w:rPr>
          <w:bCs/>
          <w:b/>
        </w:rPr>
        <w:t xml:space="preserve">Consultations:</w:t>
      </w:r>
      <w:r>
        <w:t xml:space="preserve"> </w:t>
      </w:r>
      <w:r>
        <w:t xml:space="preserve">Cardiology (Maris Caldrane, MD — HFrEF/CAD GDMT restart sequencing); Nephrology (Iven Solthar, MD — AKI-on-CKD, renal-sensitive medication gating); Endocrinology (Nerea Veylorn, MD — chronic steroid exposure / adrenal-axis question and inpatient glycemic management); Physical Therapy (Renna Volkos, DPT); Occupational Therapy (Brennan Sayre, OTR/L); Inpatient Pharmacy medication reconciliation (Ezekiel Marlott, PharmD); Case Management (Priya Ostroff, RN, CCM) and Social Work (Devra Aimes, LCSW). Outpatient rheumatology provenance reviewed from Dr. Soren Halvek (Riverbend Rheumatology Associates).</w:t>
      </w:r>
    </w:p>
    <w:p>
      <w:r>
        <w:pict>
          <v:rect style="width:0;height:1.5pt" o:hralign="center" o:hrstd="t" o:hr="t"/>
        </w:pict>
      </w:r>
    </w:p>
    <w:bookmarkEnd w:id="24"/>
    <w:bookmarkStart w:id="25" w:name="X15794701972c3d49aa2d4ffc4b82420072951c7"/>
    <w:p>
      <w:pPr>
        <w:pStyle w:val="Heading2"/>
      </w:pPr>
      <w:r>
        <w:t xml:space="preserve">ACTIVE PROBLEMS AT DISCHARGE — WHERE THINGS STAND</w:t>
      </w:r>
    </w:p>
    <w:p>
      <w:pPr>
        <w:pStyle w:val="FirstParagraph"/>
      </w:pPr>
      <w:r>
        <w:rPr>
          <w:bCs/>
          <w:b/>
        </w:rPr>
        <w:t xml:space="preserve">1. Suspected urinary-source infection / sepsis physiology (resolved clinically).</w:t>
      </w:r>
      <w:r>
        <w:t xml:space="preserve"> </w:t>
      </w:r>
      <w:r>
        <w:t xml:space="preserve">Afebrile with normalized WBC (9.4). Treated empirically: ceftriaxone IV (HD1–HD3) then oral cefpodoxime 200 mg BID (HD4 onward).</w:t>
      </w:r>
      <w:r>
        <w:t xml:space="preserve"> </w:t>
      </w:r>
      <w:r>
        <w:rPr>
          <w:bCs/>
          <w:b/>
        </w:rPr>
        <w:t xml:space="preserve">A specific uropathogen was never named in the chart</w:t>
      </w:r>
      <w:r>
        <w:t xml:space="preserve"> </w:t>
      </w:r>
      <w:r>
        <w:t xml:space="preserve">— urine culture showed preliminary growth with speciation/sensitivities still pending as of the final notes.</w:t>
      </w:r>
      <w:r>
        <w:t xml:space="preserve"> </w:t>
      </w:r>
      <w:r>
        <w:rPr>
          <w:bCs/>
          <w:b/>
        </w:rPr>
        <w:t xml:space="preserve">Action for discharge:</w:t>
      </w:r>
      <w:r>
        <w:t xml:space="preserve"> </w:t>
      </w:r>
      <w:r>
        <w:t xml:space="preserve">the discharging clinician should reconcile the final urine (and blood) culture results, confirm the antibiotic agent remains appropriate to sensitivities, and specify the</w:t>
      </w:r>
      <w:r>
        <w:t xml:space="preserve"> </w:t>
      </w:r>
      <w:r>
        <w:rPr>
          <w:bCs/>
          <w:b/>
        </w:rPr>
        <w:t xml:space="preserve">total planned oral antibiotic duration / stop date</w:t>
      </w:r>
      <w:r>
        <w:t xml:space="preserve"> </w:t>
      </w:r>
      <w:r>
        <w:t xml:space="preserve">on the discharge prescription (documented as</w:t>
      </w:r>
      <w:r>
        <w:t xml:space="preserve"> </w:t>
      </w:r>
      <w:r>
        <w:t xml:space="preserve">“</w:t>
      </w:r>
      <w:r>
        <w:t xml:space="preserve">completion vs. continuation to be reconciled at discharge</w:t>
      </w:r>
      <w:r>
        <w:t xml:space="preserve">”</w:t>
      </w:r>
      <w:r>
        <w:t xml:space="preserve">).</w:t>
      </w:r>
    </w:p>
    <w:p>
      <w:pPr>
        <w:pStyle w:val="BodyText"/>
      </w:pPr>
      <w:r>
        <w:rPr>
          <w:bCs/>
          <w:b/>
        </w:rPr>
        <w:t xml:space="preserve">2. AKI on CKD stage 3 (resolved to baseline by labs; reserve still being re-established).</w:t>
      </w:r>
      <w:r>
        <w:t xml:space="preserve"> </w:t>
      </w:r>
      <w:r>
        <w:t xml:space="preserve">Creatinine returned to 1.80 mg/dL (upper end of baseline 1.6–1.8); potassium 4.4. Nephrology’s explicit caution: reserve demonstrated on a monitored floor is not the same as home reserve.</w:t>
      </w:r>
      <w:r>
        <w:t xml:space="preserve"> </w:t>
      </w:r>
      <w:r>
        <w:rPr>
          <w:bCs/>
          <w:b/>
        </w:rPr>
        <w:t xml:space="preserve">Plan:</w:t>
      </w:r>
      <w:r>
        <w:t xml:space="preserve"> </w:t>
      </w:r>
      <w:r>
        <w:t xml:space="preserve">avoid NSAIDs; renal-dose review of any new prescription;</w:t>
      </w:r>
      <w:r>
        <w:t xml:space="preserve"> </w:t>
      </w:r>
      <w:r>
        <w:rPr>
          <w:bCs/>
          <w:b/>
        </w:rPr>
        <w:t xml:space="preserve">outpatient nephrology follow-up within 1–2 weeks</w:t>
      </w:r>
      <w:r>
        <w:t xml:space="preserve">; early post-discharge</w:t>
      </w:r>
      <w:r>
        <w:t xml:space="preserve"> </w:t>
      </w:r>
      <w:r>
        <w:rPr>
          <w:bCs/>
          <w:b/>
        </w:rPr>
        <w:t xml:space="preserve">basic metabolic panel</w:t>
      </w:r>
      <w:r>
        <w:t xml:space="preserve"> </w:t>
      </w:r>
      <w:r>
        <w:t xml:space="preserve">(creatinine/electrolytes) to support safe medication restarts — timing to be set by the PCP/nephrology, sooner if any cardiorenal agent is restarted near discharge.</w:t>
      </w:r>
    </w:p>
    <w:p>
      <w:pPr>
        <w:pStyle w:val="BodyText"/>
      </w:pPr>
      <w:r>
        <w:rPr>
          <w:bCs/>
          <w:b/>
        </w:rPr>
        <w:t xml:space="preserve">3. HFrEF / CAD secondary prevention — GDMT partially held; staged restart deferred to outpatient.</w:t>
      </w:r>
      <w:r>
        <w:t xml:space="preserve"> </w:t>
      </w:r>
      <w:r>
        <w:t xml:space="preserve">-</w:t>
      </w:r>
      <w:r>
        <w:t xml:space="preserve"> </w:t>
      </w:r>
      <w:r>
        <w:rPr>
          <w:bCs/>
          <w:b/>
        </w:rPr>
        <w:t xml:space="preserve">Continued throughout:</w:t>
      </w:r>
      <w:r>
        <w:t xml:space="preserve"> </w:t>
      </w:r>
      <w:r>
        <w:t xml:space="preserve">aspirin 81 mg daily and atorvastatin 40 mg nightly (CAD secondary prevention; note DAPT was completed years ago — he is appropriately on single-agent antiplatelet).</w:t>
      </w:r>
      <w:r>
        <w:t xml:space="preserve"> </w:t>
      </w:r>
      <w:r>
        <w:t xml:space="preserve">-</w:t>
      </w:r>
      <w:r>
        <w:t xml:space="preserve"> </w:t>
      </w:r>
      <w:r>
        <w:rPr>
          <w:bCs/>
          <w:b/>
        </w:rPr>
        <w:t xml:space="preserve">Reintroduced in hospital:</w:t>
      </w:r>
      <w:r>
        <w:t xml:space="preserve"> </w:t>
      </w:r>
      <w:r>
        <w:rPr>
          <w:bCs/>
          <w:b/>
        </w:rPr>
        <w:t xml:space="preserve">carvedilol 12.5 mg BID</w:t>
      </w:r>
      <w:r>
        <w:t xml:space="preserve"> </w:t>
      </w:r>
      <w:r>
        <w:t xml:space="preserve">— held HD1–HD2 for low-normal BP, half-day HD3, then resumed cautiously BID HD4–HD6 as systolics recovered (114–130 by HD6). Continue at discharge with home-BP/HR awareness.</w:t>
      </w:r>
      <w:r>
        <w:t xml:space="preserve"> </w:t>
      </w:r>
      <w:r>
        <w:t xml:space="preserve">-</w:t>
      </w:r>
      <w:r>
        <w:t xml:space="preserve"> </w:t>
      </w:r>
      <w:r>
        <w:rPr>
          <w:bCs/>
          <w:b/>
        </w:rPr>
        <w:t xml:space="preserve">Still held at discharge (restart NOT ordered in hospital):</w:t>
      </w:r>
      <w:r>
        <w:t xml:space="preserve"> </w:t>
      </w:r>
      <w:r>
        <w:rPr>
          <w:bCs/>
          <w:b/>
        </w:rPr>
        <w:t xml:space="preserve">sacubitril/valsartan 24/26 mg BID, spironolactone 25 mg daily, empagliflozin 10 mg daily, and furosemide 40 mg daily.</w:t>
      </w:r>
      <w:r>
        <w:t xml:space="preserve"> </w:t>
      </w:r>
      <w:r>
        <w:t xml:space="preserve">-</w:t>
      </w:r>
      <w:r>
        <w:t xml:space="preserve"> </w:t>
      </w:r>
      <w:r>
        <w:rPr>
          <w:bCs/>
          <w:b/>
        </w:rPr>
        <w:t xml:space="preserve">Plan:</w:t>
      </w:r>
      <w:r>
        <w:t xml:space="preserve"> </w:t>
      </w:r>
      <w:r>
        <w:t xml:space="preserve">Cardiology and Nephrology agree restart should be</w:t>
      </w:r>
      <w:r>
        <w:t xml:space="preserve"> </w:t>
      </w:r>
      <w:r>
        <w:rPr>
          <w:bCs/>
          <w:b/>
        </w:rPr>
        <w:t xml:space="preserve">staged and parameter-driven (creatinine/eGFR, potassium, BP margin, intake/weight), not simultaneous.</w:t>
      </w:r>
      <w:r>
        <w:t xml:space="preserve"> </w:t>
      </w:r>
      <w:r>
        <w:t xml:space="preserve">No agent other than carvedilol had been restarted as of this summary, and no final restart order set was written in-house.</w:t>
      </w:r>
      <w:r>
        <w:t xml:space="preserve"> </w:t>
      </w:r>
      <w:r>
        <w:rPr>
          <w:bCs/>
          <w:b/>
        </w:rPr>
        <w:t xml:space="preserve">Outpatient cardiology follow-up within 2 weeks</w:t>
      </w:r>
      <w:r>
        <w:t xml:space="preserve"> </w:t>
      </w:r>
      <w:r>
        <w:t xml:space="preserve">for restart titration and orthostatic/BP assessment,</w:t>
      </w:r>
      <w:r>
        <w:t xml:space="preserve"> </w:t>
      </w:r>
      <w:r>
        <w:rPr>
          <w:bCs/>
          <w:b/>
        </w:rPr>
        <w:t xml:space="preserve">coordinated with nephrology (1–2 weeks).</w:t>
      </w:r>
      <w:r>
        <w:t xml:space="preserve"> </w:t>
      </w:r>
      <w:r>
        <w:t xml:space="preserve">Spironolactone and sacubitril/valsartan in particular should not be restarted without a confirmed acceptable potassium and creatinine. Educate on HFrEF decompensation signs (weight gain, orthopnea, increasing edema, exertional dyspnea) and angina-equivalent symptoms given the prior LAD stent.</w:t>
      </w:r>
    </w:p>
    <w:p>
      <w:pPr>
        <w:pStyle w:val="BodyText"/>
      </w:pPr>
      <w:r>
        <w:rPr>
          <w:bCs/>
          <w:b/>
        </w:rPr>
        <w:t xml:space="preserve">4. Type 2 diabetes mellitus.</w:t>
      </w:r>
      <w:r>
        <w:t xml:space="preserve"> </w:t>
      </w:r>
      <w:r>
        <w:t xml:space="preserve">Inpatient management:</w:t>
      </w:r>
      <w:r>
        <w:t xml:space="preserve"> </w:t>
      </w:r>
      <w:r>
        <w:rPr>
          <w:bCs/>
          <w:b/>
        </w:rPr>
        <w:t xml:space="preserve">insulin glargine continued</w:t>
      </w:r>
      <w:r>
        <w:t xml:space="preserve"> </w:t>
      </w:r>
      <w:r>
        <w:t xml:space="preserve">(reduced to 12 units during early poor intake, titrated back to the home 18-unit dose by HD6) plus</w:t>
      </w:r>
      <w:r>
        <w:t xml:space="preserve"> </w:t>
      </w:r>
      <w:r>
        <w:rPr>
          <w:bCs/>
          <w:b/>
        </w:rPr>
        <w:t xml:space="preserve">correctional insulin lispro</w:t>
      </w:r>
      <w:r>
        <w:t xml:space="preserve">, which tapered as intake improved; glucose trended down to 140–250.</w:t>
      </w:r>
      <w:r>
        <w:t xml:space="preserve"> </w:t>
      </w:r>
      <w:r>
        <w:rPr>
          <w:bCs/>
          <w:b/>
        </w:rPr>
        <w:t xml:space="preserve">Metformin ER and empagliflozin were held</w:t>
      </w:r>
      <w:r>
        <w:t xml:space="preserve"> </w:t>
      </w:r>
      <w:r>
        <w:t xml:space="preserve">(AKI/acute illness) and were not restarted — empagliflozin restart is tied to the cardiorenal sequencing above, and metformin restart depends on stable renal function.</w:t>
      </w:r>
      <w:r>
        <w:t xml:space="preserve"> </w:t>
      </w:r>
      <w:r>
        <w:rPr>
          <w:bCs/>
          <w:b/>
        </w:rPr>
        <w:t xml:space="preserve">Plan:</w:t>
      </w:r>
      <w:r>
        <w:t xml:space="preserve"> </w:t>
      </w:r>
      <w:r>
        <w:t xml:space="preserve">resume home basal insulin 18 units nightly at discharge (confirm on final reconciliation); no new oral agent was started in-house. Recent A1c runs 7.6–8.2%;</w:t>
      </w:r>
      <w:r>
        <w:t xml:space="preserve"> </w:t>
      </w:r>
      <w:r>
        <w:rPr>
          <w:bCs/>
          <w:b/>
        </w:rPr>
        <w:t xml:space="preserve">regimen review with PCP and endocrinology</w:t>
      </w:r>
      <w:r>
        <w:t xml:space="preserve"> </w:t>
      </w:r>
      <w:r>
        <w:t xml:space="preserve">after discharge, accounting for any ongoing steroid effect on glucose.</w:t>
      </w:r>
    </w:p>
    <w:p>
      <w:pPr>
        <w:pStyle w:val="BodyText"/>
      </w:pPr>
      <w:r>
        <w:rPr>
          <w:bCs/>
          <w:b/>
        </w:rPr>
        <w:t xml:space="preserve">5. Polymyalgia rheumatica / chronic prednisone — dose unverified; taper to be finalized outpatient.</w:t>
      </w:r>
      <w:r>
        <w:t xml:space="preserve"> </w:t>
      </w:r>
      <w:r>
        <w:t xml:space="preserve">The single unresolved medication-reconciliation item of the admission. Patient and family could not reliably state the current dose;</w:t>
      </w:r>
      <w:r>
        <w:t xml:space="preserve"> </w:t>
      </w:r>
      <w:r>
        <w:rPr>
          <w:bCs/>
          <w:b/>
        </w:rPr>
        <w:t xml:space="preserve">pharmacy fill history showed a taper trajectory</w:t>
      </w:r>
      <w:r>
        <w:t xml:space="preserve"> </w:t>
      </w:r>
      <w:r>
        <w:t xml:space="preserve">(10 mg daily through Jan, stepping to 5 mg then</w:t>
      </w:r>
      <w:r>
        <w:t xml:space="preserve"> </w:t>
      </w:r>
      <w:r>
        <w:t xml:space="preserve">“</w:t>
      </w:r>
      <w:r>
        <w:t xml:space="preserve">½ tablet daily,</w:t>
      </w:r>
      <w:r>
        <w:t xml:space="preserve">”</w:t>
      </w:r>
      <w:r>
        <w:t xml:space="preserve"> </w:t>
      </w:r>
      <w:r>
        <w:t xml:space="preserve">with the most recent 05/06/2026 fill at 5 mg with taper-style directions), but multiple bottles with differing directions had been in circulation at home.</w:t>
      </w:r>
      <w:r>
        <w:t xml:space="preserve"> </w:t>
      </w:r>
      <w:r>
        <w:rPr>
          <w:bCs/>
          <w:b/>
        </w:rPr>
        <w:t xml:space="preserve">Rheumatology (Dr. Halvek) confirmed the intent was a cautious slow taper — NOT cessation — with explicit guidance to avoid abrupt discontinuation</w:t>
      </w:r>
      <w:r>
        <w:t xml:space="preserve">, but deliberately asserted no numeric dose.</w:t>
      </w:r>
      <w:r>
        <w:t xml:space="preserve"> </w:t>
      </w:r>
      <w:r>
        <w:rPr>
          <w:bCs/>
          <w:b/>
        </w:rPr>
        <w:t xml:space="preserve">Endocrinology was clear that adrenal insufficiency is not established but chronic steroid exposure is a real risk substrate.</w:t>
      </w:r>
      <w:r>
        <w:t xml:space="preserve"> </w:t>
      </w:r>
      <w:r>
        <w:t xml:space="preserve">In hospital he was maintained on</w:t>
      </w:r>
      <w:r>
        <w:t xml:space="preserve"> </w:t>
      </w:r>
      <w:r>
        <w:rPr>
          <w:bCs/>
          <w:b/>
        </w:rPr>
        <w:t xml:space="preserve">interim, non-abrupt steroid coverage</w:t>
      </w:r>
      <w:r>
        <w:t xml:space="preserve"> </w:t>
      </w:r>
      <w:r>
        <w:t xml:space="preserve">(prednisone given daily HD1–HD6).</w:t>
      </w:r>
      <w:r>
        <w:t xml:space="preserve"> </w:t>
      </w:r>
      <w:r>
        <w:rPr>
          <w:bCs/>
          <w:b/>
        </w:rPr>
        <w:t xml:space="preserve">Plan:</w:t>
      </w:r>
      <w:r>
        <w:t xml:space="preserve"> </w:t>
      </w:r>
      <w:r>
        <w:t xml:space="preserve">do</w:t>
      </w:r>
      <w:r>
        <w:t xml:space="preserve"> </w:t>
      </w:r>
      <w:r>
        <w:rPr>
          <w:bCs/>
          <w:b/>
        </w:rPr>
        <w:t xml:space="preserve">not</w:t>
      </w:r>
      <w:r>
        <w:t xml:space="preserve"> </w:t>
      </w:r>
      <w:r>
        <w:t xml:space="preserve">stop steroids abruptly; the structured taper is to be finalized by</w:t>
      </w:r>
      <w:r>
        <w:t xml:space="preserve"> </w:t>
      </w:r>
      <w:r>
        <w:rPr>
          <w:bCs/>
          <w:b/>
        </w:rPr>
        <w:t xml:space="preserve">outpatient rheumatology (Dr. Halvek, within 2–4 weeks), coordinated with endocrinology (within 2–4 weeks).</w:t>
      </w:r>
      <w:r>
        <w:t xml:space="preserve"> </w:t>
      </w:r>
      <w:r>
        <w:t xml:space="preserve">The discharge prescription should carry a clearly written, source-aware interim prednisone dose bridging to that visit rather than a dose inferred from old bottle labels. Bone-health therapy (weekly alendronate, calcium/vitamin D) to resume.</w:t>
      </w:r>
    </w:p>
    <w:p>
      <w:pPr>
        <w:pStyle w:val="BodyText"/>
      </w:pPr>
      <w:r>
        <w:rPr>
          <w:bCs/>
          <w:b/>
        </w:rPr>
        <w:t xml:space="preserve">6. Functional decline / high fall risk.</w:t>
      </w:r>
      <w:r>
        <w:t xml:space="preserve"> </w:t>
      </w:r>
      <w:r>
        <w:t xml:space="preserve">Near-fall precipitated admission. PT: improved from 10–15 ft (HD3) to 100–150 ft with a</w:t>
      </w:r>
      <w:r>
        <w:t xml:space="preserve"> </w:t>
      </w:r>
      <w:r>
        <w:rPr>
          <w:bCs/>
          <w:b/>
        </w:rPr>
        <w:t xml:space="preserve">rolling walker and supervision</w:t>
      </w:r>
      <w:r>
        <w:t xml:space="preserve"> </w:t>
      </w:r>
      <w:r>
        <w:t xml:space="preserve">(HD5), but endurance not yet recovered and</w:t>
      </w:r>
      <w:r>
        <w:t xml:space="preserve"> </w:t>
      </w:r>
      <w:r>
        <w:rPr>
          <w:bCs/>
          <w:b/>
        </w:rPr>
        <w:t xml:space="preserve">fall risk remained high (Morse 65).</w:t>
      </w:r>
      <w:r>
        <w:t xml:space="preserve"> </w:t>
      </w:r>
      <w:r>
        <w:t xml:space="preserve">Recommendations:</w:t>
      </w:r>
      <w:r>
        <w:t xml:space="preserve"> </w:t>
      </w:r>
      <w:r>
        <w:rPr>
          <w:bCs/>
          <w:b/>
        </w:rPr>
        <w:t xml:space="preserve">rolling walker (not his baseline intermittent cane)</w:t>
      </w:r>
      <w:r>
        <w:t xml:space="preserve">, bedside commode initially, bathroom grab bars, remove loose rugs, and</w:t>
      </w:r>
      <w:r>
        <w:t xml:space="preserve"> </w:t>
      </w:r>
      <w:r>
        <w:rPr>
          <w:bCs/>
          <w:b/>
        </w:rPr>
        <w:t xml:space="preserve">supervised mobility for the first 5–7 days.</w:t>
      </w:r>
      <w:r>
        <w:t xml:space="preserve"> </w:t>
      </w:r>
      <w:r>
        <w:rPr>
          <w:bCs/>
          <w:b/>
        </w:rPr>
        <w:t xml:space="preserve">Plan:</w:t>
      </w:r>
      <w:r>
        <w:t xml:space="preserve"> </w:t>
      </w:r>
      <w:r>
        <w:t xml:space="preserve">home vs. outpatient PT/OT per the final functional plan; outpatient PT handoff.</w:t>
      </w:r>
    </w:p>
    <w:p>
      <w:pPr>
        <w:pStyle w:val="BodyText"/>
      </w:pPr>
      <w:r>
        <w:rPr>
          <w:bCs/>
          <w:b/>
        </w:rPr>
        <w:t xml:space="preserve">7. Altered mental status / cognitive slowing (improving, not at baseline).</w:t>
      </w:r>
      <w:r>
        <w:t xml:space="preserve"> </w:t>
      </w:r>
      <w:r>
        <w:t xml:space="preserve">Intermittent evening confusion was prominent early and lessened by HD5–HD6 but he remained slower on multi-step questions. Crucially,</w:t>
      </w:r>
      <w:r>
        <w:t xml:space="preserve"> </w:t>
      </w:r>
      <w:r>
        <w:rPr>
          <w:bCs/>
          <w:b/>
        </w:rPr>
        <w:t xml:space="preserve">OT found reproducible errors when he organized his 19-medication regimen</w:t>
      </w:r>
      <w:r>
        <w:t xml:space="preserve"> </w:t>
      </w:r>
      <w:r>
        <w:t xml:space="preserve">— BID-timing and PRN-vs-scheduled mistakes that recurred across sessions and that he did not reliably self-detect.</w:t>
      </w:r>
      <w:r>
        <w:t xml:space="preserve"> </w:t>
      </w:r>
      <w:r>
        <w:rPr>
          <w:bCs/>
          <w:b/>
        </w:rPr>
        <w:t xml:space="preserve">Plan (medication safety):</w:t>
      </w:r>
      <w:r>
        <w:t xml:space="preserve"> </w:t>
      </w:r>
      <w:r>
        <w:rPr>
          <w:bCs/>
          <w:b/>
        </w:rPr>
        <w:t xml:space="preserve">family-filled weekly pill organizer</w:t>
      </w:r>
      <w:r>
        <w:t xml:space="preserve"> </w:t>
      </w:r>
      <w:r>
        <w:t xml:space="preserve">(filling should not be his sole responsibility initially),</w:t>
      </w:r>
      <w:r>
        <w:t xml:space="preserve"> </w:t>
      </w:r>
      <w:r>
        <w:rPr>
          <w:bCs/>
          <w:b/>
        </w:rPr>
        <w:t xml:space="preserve">teach-back education with family present</w:t>
      </w:r>
      <w:r>
        <w:t xml:space="preserve"> </w:t>
      </w:r>
      <w:r>
        <w:t xml:space="preserve">for any new/changed medication, and</w:t>
      </w:r>
      <w:r>
        <w:t xml:space="preserve"> </w:t>
      </w:r>
      <w:r>
        <w:rPr>
          <w:bCs/>
          <w:b/>
        </w:rPr>
        <w:t xml:space="preserve">daily family verification at medication times for the first 5–7 days</w:t>
      </w:r>
      <w:r>
        <w:t xml:space="preserve">, including confirming doses were actually taken. Gabapentin — held/reduced in hospital for sedation/fall-risk and returned to 300 mg nightly by HD5 — should be monitored for contribution to sedation/falls at home.</w:t>
      </w:r>
    </w:p>
    <w:p>
      <w:pPr>
        <w:pStyle w:val="BodyText"/>
      </w:pPr>
      <w:r>
        <w:rPr>
          <w:bCs/>
          <w:b/>
        </w:rPr>
        <w:t xml:space="preserve">8. Other chronic problems (stable, continue home management):</w:t>
      </w:r>
      <w:r>
        <w:t xml:space="preserve"> </w:t>
      </w:r>
      <w:r>
        <w:t xml:space="preserve">hypertension (covered by the HFrEF regimen above); mixed hyperlipidemia (atorvastatin continued); diabetic peripheral neuropathy (gabapentin, reassess sedation/fall risk); OSA (offer/continue CPAP, reinforce adherence); anemia of CKD (resume ferrous sulfate every other day); steroid-associated osteoporosis (resume weekly alendronate + calcium/vitamin D); GERD (pantoprazole continued); constipation tendency (PEG/senna PRN).</w:t>
      </w:r>
    </w:p>
    <w:p>
      <w:r>
        <w:pict>
          <v:rect style="width:0;height:1.5pt" o:hralign="center" o:hrstd="t" o:hr="t"/>
        </w:pict>
      </w:r>
    </w:p>
    <w:bookmarkEnd w:id="25"/>
    <w:bookmarkStart w:id="26" w:name="discharge-medications-status-snapshot"/>
    <w:p>
      <w:pPr>
        <w:pStyle w:val="Heading2"/>
      </w:pPr>
      <w:r>
        <w:t xml:space="preserve">DISCHARGE MEDICATIONS — STATUS SNAPSHOT</w:t>
      </w:r>
    </w:p>
    <w:p>
      <w:pPr>
        <w:pStyle w:val="BlockText"/>
      </w:pPr>
      <w:r>
        <w:t xml:space="preserve">Final reconciliation is to be completed by the hospitalist and pharmacy in the discharge order. The table reflects status as of 05/23/2026 and must be confirmed before the patient leaves.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Medication</w:t>
            </w:r>
          </w:p>
        </w:tc>
        <w:tc>
          <w:tcPr/>
          <w:p>
            <w:pPr>
              <w:pStyle w:val="Compact"/>
              <w:jc w:val="left"/>
            </w:pPr>
            <w:r>
              <w:t xml:space="preserve">Indication</w:t>
            </w:r>
          </w:p>
        </w:tc>
        <w:tc>
          <w:tcPr/>
          <w:p>
            <w:pPr>
              <w:pStyle w:val="Compact"/>
              <w:jc w:val="left"/>
            </w:pPr>
            <w:r>
              <w:t xml:space="preserve">Status at discharge</w:t>
            </w:r>
          </w:p>
        </w:tc>
      </w:tr>
      <w:tr>
        <w:tc>
          <w:tcPr/>
          <w:p>
            <w:pPr>
              <w:pStyle w:val="Compact"/>
              <w:jc w:val="left"/>
            </w:pPr>
            <w:r>
              <w:t xml:space="preserve">Aspirin 81 mg PO daily</w:t>
            </w:r>
          </w:p>
        </w:tc>
        <w:tc>
          <w:tcPr/>
          <w:p>
            <w:pPr>
              <w:pStyle w:val="Compact"/>
              <w:jc w:val="left"/>
            </w:pPr>
            <w:r>
              <w:t xml:space="preserve">CAD secondary prevention</w:t>
            </w:r>
          </w:p>
        </w:tc>
        <w:tc>
          <w:tcPr/>
          <w:p>
            <w:pPr>
              <w:pStyle w:val="Compact"/>
              <w:jc w:val="left"/>
            </w:pPr>
            <w:r>
              <w:rPr>
                <w:bCs/>
                <w:b/>
              </w:rPr>
              <w:t xml:space="preserve">Continue</w:t>
            </w:r>
          </w:p>
        </w:tc>
      </w:tr>
      <w:tr>
        <w:tc>
          <w:tcPr/>
          <w:p>
            <w:pPr>
              <w:pStyle w:val="Compact"/>
              <w:jc w:val="left"/>
            </w:pPr>
            <w:r>
              <w:t xml:space="preserve">Atorvastatin 40 mg PO nightly</w:t>
            </w:r>
          </w:p>
        </w:tc>
        <w:tc>
          <w:tcPr/>
          <w:p>
            <w:pPr>
              <w:pStyle w:val="Compact"/>
              <w:jc w:val="left"/>
            </w:pPr>
            <w:r>
              <w:t xml:space="preserve">CAD / hyperlipidemia</w:t>
            </w:r>
          </w:p>
        </w:tc>
        <w:tc>
          <w:tcPr/>
          <w:p>
            <w:pPr>
              <w:pStyle w:val="Compact"/>
              <w:jc w:val="left"/>
            </w:pPr>
            <w:r>
              <w:rPr>
                <w:bCs/>
                <w:b/>
              </w:rPr>
              <w:t xml:space="preserve">Continue</w:t>
            </w:r>
          </w:p>
        </w:tc>
      </w:tr>
      <w:tr>
        <w:tc>
          <w:tcPr/>
          <w:p>
            <w:pPr>
              <w:pStyle w:val="Compact"/>
              <w:jc w:val="left"/>
            </w:pPr>
            <w:r>
              <w:t xml:space="preserve">Carvedilol 12.5 mg PO BID</w:t>
            </w:r>
          </w:p>
        </w:tc>
        <w:tc>
          <w:tcPr/>
          <w:p>
            <w:pPr>
              <w:pStyle w:val="Compact"/>
              <w:jc w:val="left"/>
            </w:pPr>
            <w:r>
              <w:t xml:space="preserve">HFrEF / CAD</w:t>
            </w:r>
          </w:p>
        </w:tc>
        <w:tc>
          <w:tcPr/>
          <w:p>
            <w:pPr>
              <w:pStyle w:val="Compact"/>
              <w:jc w:val="left"/>
            </w:pPr>
            <w:r>
              <w:rPr>
                <w:bCs/>
                <w:b/>
              </w:rPr>
              <w:t xml:space="preserve">Continue</w:t>
            </w:r>
            <w:r>
              <w:t xml:space="preserve"> </w:t>
            </w:r>
            <w:r>
              <w:t xml:space="preserve">(reintroduced in hospital; monitor BP/HR)</w:t>
            </w:r>
          </w:p>
        </w:tc>
      </w:tr>
      <w:tr>
        <w:tc>
          <w:tcPr/>
          <w:p>
            <w:pPr>
              <w:pStyle w:val="Compact"/>
              <w:jc w:val="left"/>
            </w:pPr>
            <w:r>
              <w:t xml:space="preserve">Sacubitril/valsartan 24/26 mg PO BID</w:t>
            </w:r>
          </w:p>
        </w:tc>
        <w:tc>
          <w:tcPr/>
          <w:p>
            <w:pPr>
              <w:pStyle w:val="Compact"/>
              <w:jc w:val="left"/>
            </w:pPr>
            <w:r>
              <w:t xml:space="preserve">HFrEF</w:t>
            </w:r>
          </w:p>
        </w:tc>
        <w:tc>
          <w:tcPr/>
          <w:p>
            <w:pPr>
              <w:pStyle w:val="Compact"/>
              <w:jc w:val="left"/>
            </w:pPr>
            <w:r>
              <w:rPr>
                <w:bCs/>
                <w:b/>
              </w:rPr>
              <w:t xml:space="preserve">HELD</w:t>
            </w:r>
            <w:r>
              <w:t xml:space="preserve"> </w:t>
            </w:r>
            <w:r>
              <w:t xml:space="preserve">— staged outpatient restart (cardiology + nephrology)</w:t>
            </w:r>
          </w:p>
        </w:tc>
      </w:tr>
      <w:tr>
        <w:tc>
          <w:tcPr/>
          <w:p>
            <w:pPr>
              <w:pStyle w:val="Compact"/>
              <w:jc w:val="left"/>
            </w:pPr>
            <w:r>
              <w:t xml:space="preserve">Spironolactone 25 mg PO daily</w:t>
            </w:r>
          </w:p>
        </w:tc>
        <w:tc>
          <w:tcPr/>
          <w:p>
            <w:pPr>
              <w:pStyle w:val="Compact"/>
              <w:jc w:val="left"/>
            </w:pPr>
            <w:r>
              <w:t xml:space="preserve">HFrEF</w:t>
            </w:r>
          </w:p>
        </w:tc>
        <w:tc>
          <w:tcPr/>
          <w:p>
            <w:pPr>
              <w:pStyle w:val="Compact"/>
              <w:jc w:val="left"/>
            </w:pPr>
            <w:r>
              <w:rPr>
                <w:bCs/>
                <w:b/>
              </w:rPr>
              <w:t xml:space="preserve">HELD</w:t>
            </w:r>
            <w:r>
              <w:t xml:space="preserve"> </w:t>
            </w:r>
            <w:r>
              <w:t xml:space="preserve">— restart only with acceptable K⁺/creatinine</w:t>
            </w:r>
          </w:p>
        </w:tc>
      </w:tr>
      <w:tr>
        <w:tc>
          <w:tcPr/>
          <w:p>
            <w:pPr>
              <w:pStyle w:val="Compact"/>
              <w:jc w:val="left"/>
            </w:pPr>
            <w:r>
              <w:t xml:space="preserve">Furosemide 40 mg PO daily</w:t>
            </w:r>
          </w:p>
        </w:tc>
        <w:tc>
          <w:tcPr/>
          <w:p>
            <w:pPr>
              <w:pStyle w:val="Compact"/>
              <w:jc w:val="left"/>
            </w:pPr>
            <w:r>
              <w:t xml:space="preserve">HFrEF volume</w:t>
            </w:r>
          </w:p>
        </w:tc>
        <w:tc>
          <w:tcPr/>
          <w:p>
            <w:pPr>
              <w:pStyle w:val="Compact"/>
              <w:jc w:val="left"/>
            </w:pPr>
            <w:r>
              <w:rPr>
                <w:bCs/>
                <w:b/>
              </w:rPr>
              <w:t xml:space="preserve">HELD</w:t>
            </w:r>
            <w:r>
              <w:t xml:space="preserve"> </w:t>
            </w:r>
            <w:r>
              <w:t xml:space="preserve">— reassess volume status outpatient</w:t>
            </w:r>
          </w:p>
        </w:tc>
      </w:tr>
      <w:tr>
        <w:tc>
          <w:tcPr/>
          <w:p>
            <w:pPr>
              <w:pStyle w:val="Compact"/>
              <w:jc w:val="left"/>
            </w:pPr>
            <w:r>
              <w:t xml:space="preserve">Empagliflozin 10 mg PO daily</w:t>
            </w:r>
          </w:p>
        </w:tc>
        <w:tc>
          <w:tcPr/>
          <w:p>
            <w:pPr>
              <w:pStyle w:val="Compact"/>
              <w:jc w:val="left"/>
            </w:pPr>
            <w:r>
              <w:t xml:space="preserve">HFrEF / T2DM</w:t>
            </w:r>
          </w:p>
        </w:tc>
        <w:tc>
          <w:tcPr/>
          <w:p>
            <w:pPr>
              <w:pStyle w:val="Compact"/>
              <w:jc w:val="left"/>
            </w:pPr>
            <w:r>
              <w:rPr>
                <w:bCs/>
                <w:b/>
              </w:rPr>
              <w:t xml:space="preserve">HELD</w:t>
            </w:r>
            <w:r>
              <w:t xml:space="preserve"> </w:t>
            </w:r>
            <w:r>
              <w:t xml:space="preserve">— restart tied to renal/cardiac sequencing</w:t>
            </w:r>
          </w:p>
        </w:tc>
      </w:tr>
      <w:tr>
        <w:tc>
          <w:tcPr/>
          <w:p>
            <w:pPr>
              <w:pStyle w:val="Compact"/>
              <w:jc w:val="left"/>
            </w:pPr>
            <w:r>
              <w:t xml:space="preserve">Metformin ER 500 mg PO BID</w:t>
            </w:r>
          </w:p>
        </w:tc>
        <w:tc>
          <w:tcPr/>
          <w:p>
            <w:pPr>
              <w:pStyle w:val="Compact"/>
              <w:jc w:val="left"/>
            </w:pPr>
            <w:r>
              <w:t xml:space="preserve">T2DM</w:t>
            </w:r>
          </w:p>
        </w:tc>
        <w:tc>
          <w:tcPr/>
          <w:p>
            <w:pPr>
              <w:pStyle w:val="Compact"/>
              <w:jc w:val="left"/>
            </w:pPr>
            <w:r>
              <w:rPr>
                <w:bCs/>
                <w:b/>
              </w:rPr>
              <w:t xml:space="preserve">HELD</w:t>
            </w:r>
            <w:r>
              <w:t xml:space="preserve"> </w:t>
            </w:r>
            <w:r>
              <w:t xml:space="preserve">— restart when renal function stable</w:t>
            </w:r>
          </w:p>
        </w:tc>
      </w:tr>
      <w:tr>
        <w:tc>
          <w:tcPr/>
          <w:p>
            <w:pPr>
              <w:pStyle w:val="Compact"/>
              <w:jc w:val="left"/>
            </w:pPr>
            <w:r>
              <w:t xml:space="preserve">Insulin glargine 18 units SC nightly</w:t>
            </w:r>
          </w:p>
        </w:tc>
        <w:tc>
          <w:tcPr/>
          <w:p>
            <w:pPr>
              <w:pStyle w:val="Compact"/>
              <w:jc w:val="left"/>
            </w:pPr>
            <w:r>
              <w:t xml:space="preserve">T2DM basal</w:t>
            </w:r>
          </w:p>
        </w:tc>
        <w:tc>
          <w:tcPr/>
          <w:p>
            <w:pPr>
              <w:pStyle w:val="Compact"/>
              <w:jc w:val="left"/>
            </w:pPr>
            <w:r>
              <w:rPr>
                <w:bCs/>
                <w:b/>
              </w:rPr>
              <w:t xml:space="preserve">Continue</w:t>
            </w:r>
            <w:r>
              <w:t xml:space="preserve"> </w:t>
            </w:r>
            <w:r>
              <w:t xml:space="preserve">(back to home dose; confirm)</w:t>
            </w:r>
          </w:p>
        </w:tc>
      </w:tr>
      <w:tr>
        <w:tc>
          <w:tcPr/>
          <w:p>
            <w:pPr>
              <w:pStyle w:val="Compact"/>
              <w:jc w:val="left"/>
            </w:pPr>
            <w:r>
              <w:t xml:space="preserve">Insulin lispro correctional</w:t>
            </w:r>
          </w:p>
        </w:tc>
        <w:tc>
          <w:tcPr/>
          <w:p>
            <w:pPr>
              <w:pStyle w:val="Compact"/>
              <w:jc w:val="left"/>
            </w:pPr>
            <w:r>
              <w:t xml:space="preserve">T2DM inpatient coverage</w:t>
            </w:r>
          </w:p>
        </w:tc>
        <w:tc>
          <w:tcPr/>
          <w:p>
            <w:pPr>
              <w:pStyle w:val="Compact"/>
              <w:jc w:val="left"/>
            </w:pPr>
            <w:r>
              <w:t xml:space="preserve">Inpatient only — reconcile outpatient sliding-scale need</w:t>
            </w:r>
          </w:p>
        </w:tc>
      </w:tr>
      <w:tr>
        <w:tc>
          <w:tcPr/>
          <w:p>
            <w:pPr>
              <w:pStyle w:val="Compact"/>
              <w:jc w:val="left"/>
            </w:pPr>
            <w:r>
              <w:t xml:space="preserve">Prednisone</w:t>
            </w:r>
          </w:p>
        </w:tc>
        <w:tc>
          <w:tcPr/>
          <w:p>
            <w:pPr>
              <w:pStyle w:val="Compact"/>
              <w:jc w:val="left"/>
            </w:pPr>
            <w:r>
              <w:t xml:space="preserve">PMR</w:t>
            </w:r>
          </w:p>
        </w:tc>
        <w:tc>
          <w:tcPr/>
          <w:p>
            <w:pPr>
              <w:pStyle w:val="Compact"/>
              <w:jc w:val="left"/>
            </w:pPr>
            <w:r>
              <w:rPr>
                <w:bCs/>
                <w:b/>
              </w:rPr>
              <w:t xml:space="preserve">Continue interim, non-abrupt dose</w:t>
            </w:r>
            <w:r>
              <w:t xml:space="preserve">; taper via rheumatology/endocrine — do NOT stop abruptly; do NOT infer dose from old labels</w:t>
            </w:r>
          </w:p>
        </w:tc>
      </w:tr>
      <w:tr>
        <w:tc>
          <w:tcPr/>
          <w:p>
            <w:pPr>
              <w:pStyle w:val="Compact"/>
              <w:jc w:val="left"/>
            </w:pPr>
            <w:r>
              <w:t xml:space="preserve">Gabapentin 300 mg PO nightly</w:t>
            </w:r>
          </w:p>
        </w:tc>
        <w:tc>
          <w:tcPr/>
          <w:p>
            <w:pPr>
              <w:pStyle w:val="Compact"/>
              <w:jc w:val="left"/>
            </w:pPr>
            <w:r>
              <w:t xml:space="preserve">Neuropathy</w:t>
            </w:r>
          </w:p>
        </w:tc>
        <w:tc>
          <w:tcPr/>
          <w:p>
            <w:pPr>
              <w:pStyle w:val="Compact"/>
              <w:jc w:val="left"/>
            </w:pPr>
            <w:r>
              <w:rPr>
                <w:bCs/>
                <w:b/>
              </w:rPr>
              <w:t xml:space="preserve">Continue</w:t>
            </w:r>
            <w:r>
              <w:t xml:space="preserve">; monitor sedation/fall risk</w:t>
            </w:r>
          </w:p>
        </w:tc>
      </w:tr>
      <w:tr>
        <w:tc>
          <w:tcPr/>
          <w:p>
            <w:pPr>
              <w:pStyle w:val="Compact"/>
              <w:jc w:val="left"/>
            </w:pPr>
            <w:r>
              <w:t xml:space="preserve">Ferrous sulfate 325 mg PO every other day</w:t>
            </w:r>
          </w:p>
        </w:tc>
        <w:tc>
          <w:tcPr/>
          <w:p>
            <w:pPr>
              <w:pStyle w:val="Compact"/>
              <w:jc w:val="left"/>
            </w:pPr>
            <w:r>
              <w:t xml:space="preserve">Anemia of CKD</w:t>
            </w:r>
          </w:p>
        </w:tc>
        <w:tc>
          <w:tcPr/>
          <w:p>
            <w:pPr>
              <w:pStyle w:val="Compact"/>
              <w:jc w:val="left"/>
            </w:pPr>
            <w:r>
              <w:rPr>
                <w:bCs/>
                <w:b/>
              </w:rPr>
              <w:t xml:space="preserve">Continue</w:t>
            </w:r>
          </w:p>
        </w:tc>
      </w:tr>
      <w:tr>
        <w:tc>
          <w:tcPr/>
          <w:p>
            <w:pPr>
              <w:pStyle w:val="Compact"/>
              <w:jc w:val="left"/>
            </w:pPr>
            <w:r>
              <w:t xml:space="preserve">Alendronate 70 mg PO weekly (Sun AM)</w:t>
            </w:r>
          </w:p>
        </w:tc>
        <w:tc>
          <w:tcPr/>
          <w:p>
            <w:pPr>
              <w:pStyle w:val="Compact"/>
              <w:jc w:val="left"/>
            </w:pPr>
            <w:r>
              <w:t xml:space="preserve">Steroid osteoporosis</w:t>
            </w:r>
          </w:p>
        </w:tc>
        <w:tc>
          <w:tcPr/>
          <w:p>
            <w:pPr>
              <w:pStyle w:val="Compact"/>
              <w:jc w:val="left"/>
            </w:pPr>
            <w:r>
              <w:rPr>
                <w:bCs/>
                <w:b/>
              </w:rPr>
              <w:t xml:space="preserve">Resume</w:t>
            </w:r>
            <w:r>
              <w:t xml:space="preserve"> </w:t>
            </w:r>
            <w:r>
              <w:t xml:space="preserve">(not given inpatient)</w:t>
            </w:r>
          </w:p>
        </w:tc>
      </w:tr>
      <w:tr>
        <w:tc>
          <w:tcPr/>
          <w:p>
            <w:pPr>
              <w:pStyle w:val="Compact"/>
              <w:jc w:val="left"/>
            </w:pPr>
            <w:r>
              <w:t xml:space="preserve">Calcium carbonate 600 mg / vitamin D 400 IU PO BID</w:t>
            </w:r>
          </w:p>
        </w:tc>
        <w:tc>
          <w:tcPr/>
          <w:p>
            <w:pPr>
              <w:pStyle w:val="Compact"/>
              <w:jc w:val="left"/>
            </w:pPr>
            <w:r>
              <w:t xml:space="preserve">Bone health</w:t>
            </w:r>
          </w:p>
        </w:tc>
        <w:tc>
          <w:tcPr/>
          <w:p>
            <w:pPr>
              <w:pStyle w:val="Compact"/>
              <w:jc w:val="left"/>
            </w:pPr>
            <w:r>
              <w:rPr>
                <w:bCs/>
                <w:b/>
              </w:rPr>
              <w:t xml:space="preserve">Continue</w:t>
            </w:r>
          </w:p>
        </w:tc>
      </w:tr>
      <w:tr>
        <w:tc>
          <w:tcPr/>
          <w:p>
            <w:pPr>
              <w:pStyle w:val="Compact"/>
              <w:jc w:val="left"/>
            </w:pPr>
            <w:r>
              <w:t xml:space="preserve">Pantoprazole 40 mg PO daily</w:t>
            </w:r>
          </w:p>
        </w:tc>
        <w:tc>
          <w:tcPr/>
          <w:p>
            <w:pPr>
              <w:pStyle w:val="Compact"/>
              <w:jc w:val="left"/>
            </w:pPr>
            <w:r>
              <w:t xml:space="preserve">GERD</w:t>
            </w:r>
          </w:p>
        </w:tc>
        <w:tc>
          <w:tcPr/>
          <w:p>
            <w:pPr>
              <w:pStyle w:val="Compact"/>
              <w:jc w:val="left"/>
            </w:pPr>
            <w:r>
              <w:rPr>
                <w:bCs/>
                <w:b/>
              </w:rPr>
              <w:t xml:space="preserve">Continue</w:t>
            </w:r>
          </w:p>
        </w:tc>
      </w:tr>
      <w:tr>
        <w:tc>
          <w:tcPr/>
          <w:p>
            <w:pPr>
              <w:pStyle w:val="Compact"/>
              <w:jc w:val="left"/>
            </w:pPr>
            <w:r>
              <w:t xml:space="preserve">Oral antibiotic (cefpodoxime 200 mg PO BID)</w:t>
            </w:r>
          </w:p>
        </w:tc>
        <w:tc>
          <w:tcPr/>
          <w:p>
            <w:pPr>
              <w:pStyle w:val="Compact"/>
              <w:jc w:val="left"/>
            </w:pPr>
            <w:r>
              <w:t xml:space="preserve">UTI/urinary source</w:t>
            </w:r>
          </w:p>
        </w:tc>
        <w:tc>
          <w:tcPr/>
          <w:p>
            <w:pPr>
              <w:pStyle w:val="Compact"/>
              <w:jc w:val="left"/>
            </w:pPr>
            <w:r>
              <w:rPr>
                <w:bCs/>
                <w:b/>
              </w:rPr>
              <w:t xml:space="preserve">Confirm agent vs. final sensitivities and specify stop date</w:t>
            </w:r>
          </w:p>
        </w:tc>
      </w:tr>
      <w:tr>
        <w:tc>
          <w:tcPr/>
          <w:p>
            <w:pPr>
              <w:pStyle w:val="Compact"/>
              <w:jc w:val="left"/>
            </w:pPr>
            <w:r>
              <w:t xml:space="preserve">Nitroglycerin 0.4 mg SL PRN</w:t>
            </w:r>
          </w:p>
        </w:tc>
        <w:tc>
          <w:tcPr/>
          <w:p>
            <w:pPr>
              <w:pStyle w:val="Compact"/>
              <w:jc w:val="left"/>
            </w:pPr>
            <w:r>
              <w:t xml:space="preserve">Angina rescue</w:t>
            </w:r>
          </w:p>
        </w:tc>
        <w:tc>
          <w:tcPr/>
          <w:p>
            <w:pPr>
              <w:pStyle w:val="Compact"/>
              <w:jc w:val="left"/>
            </w:pPr>
            <w:r>
              <w:rPr>
                <w:bCs/>
                <w:b/>
              </w:rPr>
              <w:t xml:space="preserve">Continue PRN</w:t>
            </w:r>
            <w:r>
              <w:t xml:space="preserve"> </w:t>
            </w:r>
            <w:r>
              <w:t xml:space="preserve">(none needed in hospital)</w:t>
            </w:r>
          </w:p>
        </w:tc>
      </w:tr>
      <w:tr>
        <w:tc>
          <w:tcPr/>
          <w:p>
            <w:pPr>
              <w:pStyle w:val="Compact"/>
              <w:jc w:val="left"/>
            </w:pPr>
            <w:r>
              <w:t xml:space="preserve">Acetaminophen 650 mg PO q6h PRN; PEG 3350 / senna PRN</w:t>
            </w:r>
          </w:p>
        </w:tc>
        <w:tc>
          <w:tcPr/>
          <w:p>
            <w:pPr>
              <w:pStyle w:val="Compact"/>
              <w:jc w:val="left"/>
            </w:pPr>
            <w:r>
              <w:t xml:space="preserve">Pain; bowel regimen</w:t>
            </w:r>
          </w:p>
        </w:tc>
        <w:tc>
          <w:tcPr/>
          <w:p>
            <w:pPr>
              <w:pStyle w:val="Compact"/>
              <w:jc w:val="left"/>
            </w:pPr>
            <w:r>
              <w:rPr>
                <w:bCs/>
                <w:b/>
              </w:rPr>
              <w:t xml:space="preserve">Continue PRN</w:t>
            </w:r>
            <w:r>
              <w:t xml:space="preserve">; avoid NSAIDs</w:t>
            </w:r>
          </w:p>
        </w:tc>
      </w:tr>
    </w:tbl>
    <w:p>
      <w:r>
        <w:pict>
          <v:rect style="width:0;height:1.5pt" o:hralign="center" o:hrstd="t" o:hr="t"/>
        </w:pict>
      </w:r>
    </w:p>
    <w:bookmarkEnd w:id="26"/>
    <w:bookmarkStart w:id="27" w:name="follow-up"/>
    <w:p>
      <w:pPr>
        <w:pStyle w:val="Heading2"/>
      </w:pPr>
      <w:r>
        <w:t xml:space="preserve">FOLLOW-UP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Clinician</w:t>
            </w:r>
          </w:p>
        </w:tc>
        <w:tc>
          <w:tcPr/>
          <w:p>
            <w:pPr>
              <w:pStyle w:val="Compact"/>
              <w:jc w:val="left"/>
            </w:pPr>
            <w:r>
              <w:t xml:space="preserve">Target window</w:t>
            </w:r>
          </w:p>
        </w:tc>
        <w:tc>
          <w:tcPr/>
          <w:p>
            <w:pPr>
              <w:pStyle w:val="Compact"/>
              <w:jc w:val="left"/>
            </w:pPr>
            <w:r>
              <w:t xml:space="preserve">Purpose</w:t>
            </w:r>
          </w:p>
        </w:tc>
      </w:tr>
      <w:tr>
        <w:tc>
          <w:tcPr/>
          <w:p>
            <w:pPr>
              <w:pStyle w:val="Compact"/>
              <w:jc w:val="left"/>
            </w:pPr>
            <w:r>
              <w:t xml:space="preserve">Primary care</w:t>
            </w:r>
          </w:p>
        </w:tc>
        <w:tc>
          <w:tcPr/>
          <w:p>
            <w:pPr>
              <w:pStyle w:val="Compact"/>
              <w:jc w:val="left"/>
            </w:pPr>
            <w:r>
              <w:t xml:space="preserve">Talia Quenor, MD — (412) 555-0410</w:t>
            </w:r>
          </w:p>
        </w:tc>
        <w:tc>
          <w:tcPr/>
          <w:p>
            <w:pPr>
              <w:pStyle w:val="Compact"/>
              <w:jc w:val="left"/>
            </w:pPr>
            <w:r>
              <w:rPr>
                <w:bCs/>
                <w:b/>
              </w:rPr>
              <w:t xml:space="preserve">Within 7 days</w:t>
            </w:r>
          </w:p>
        </w:tc>
        <w:tc>
          <w:tcPr/>
          <w:p>
            <w:pPr>
              <w:pStyle w:val="Compact"/>
              <w:jc w:val="left"/>
            </w:pPr>
            <w:r>
              <w:t xml:space="preserve">Overall reconciliation, medication teaching follow-up, early labs, glycemic regimen review</w:t>
            </w:r>
          </w:p>
        </w:tc>
      </w:tr>
      <w:tr>
        <w:tc>
          <w:tcPr/>
          <w:p>
            <w:pPr>
              <w:pStyle w:val="Compact"/>
              <w:jc w:val="left"/>
            </w:pPr>
            <w:r>
              <w:t xml:space="preserve">Nephrology</w:t>
            </w:r>
          </w:p>
        </w:tc>
        <w:tc>
          <w:tcPr/>
          <w:p>
            <w:pPr>
              <w:pStyle w:val="Compact"/>
              <w:jc w:val="left"/>
            </w:pPr>
            <w:r>
              <w:t xml:space="preserve">Iven Solthar, MD</w:t>
            </w:r>
          </w:p>
        </w:tc>
        <w:tc>
          <w:tcPr/>
          <w:p>
            <w:pPr>
              <w:pStyle w:val="Compact"/>
              <w:jc w:val="left"/>
            </w:pPr>
            <w:r>
              <w:rPr>
                <w:bCs/>
                <w:b/>
              </w:rPr>
              <w:t xml:space="preserve">Within 1–2 weeks</w:t>
            </w:r>
            <w:r>
              <w:t xml:space="preserve"> </w:t>
            </w:r>
            <w:r>
              <w:t xml:space="preserve">(sooner if any agent restarted near discharge)</w:t>
            </w:r>
          </w:p>
        </w:tc>
        <w:tc>
          <w:tcPr/>
          <w:p>
            <w:pPr>
              <w:pStyle w:val="Compact"/>
              <w:jc w:val="left"/>
            </w:pPr>
            <w:r>
              <w:t xml:space="preserve">Post-AKI monitoring; gate cardiorenal restarts; BMP follow-up</w:t>
            </w:r>
          </w:p>
        </w:tc>
      </w:tr>
      <w:tr>
        <w:tc>
          <w:tcPr/>
          <w:p>
            <w:pPr>
              <w:pStyle w:val="Compact"/>
              <w:jc w:val="left"/>
            </w:pPr>
            <w:r>
              <w:t xml:space="preserve">Cardiology</w:t>
            </w:r>
          </w:p>
        </w:tc>
        <w:tc>
          <w:tcPr/>
          <w:p>
            <w:pPr>
              <w:pStyle w:val="Compact"/>
              <w:jc w:val="left"/>
            </w:pPr>
            <w:r>
              <w:t xml:space="preserve">Maris Caldrane, MD — pager (412) 555-0311</w:t>
            </w:r>
          </w:p>
        </w:tc>
        <w:tc>
          <w:tcPr/>
          <w:p>
            <w:pPr>
              <w:pStyle w:val="Compact"/>
              <w:jc w:val="left"/>
            </w:pPr>
            <w:r>
              <w:rPr>
                <w:bCs/>
                <w:b/>
              </w:rPr>
              <w:t xml:space="preserve">Within 2 weeks</w:t>
            </w:r>
          </w:p>
        </w:tc>
        <w:tc>
          <w:tcPr/>
          <w:p>
            <w:pPr>
              <w:pStyle w:val="Compact"/>
              <w:jc w:val="left"/>
            </w:pPr>
            <w:r>
              <w:t xml:space="preserve">Staged GDMT restart/titration; BP &amp; orthostatic assessment</w:t>
            </w:r>
          </w:p>
        </w:tc>
      </w:tr>
      <w:tr>
        <w:tc>
          <w:tcPr/>
          <w:p>
            <w:pPr>
              <w:pStyle w:val="Compact"/>
              <w:jc w:val="left"/>
            </w:pPr>
            <w:r>
              <w:t xml:space="preserve">Endocrinology</w:t>
            </w:r>
          </w:p>
        </w:tc>
        <w:tc>
          <w:tcPr/>
          <w:p>
            <w:pPr>
              <w:pStyle w:val="Compact"/>
              <w:jc w:val="left"/>
            </w:pPr>
            <w:r>
              <w:t xml:space="preserve">Nerea Veylorn, MD</w:t>
            </w:r>
          </w:p>
        </w:tc>
        <w:tc>
          <w:tcPr/>
          <w:p>
            <w:pPr>
              <w:pStyle w:val="Compact"/>
              <w:jc w:val="left"/>
            </w:pPr>
            <w:r>
              <w:rPr>
                <w:bCs/>
                <w:b/>
              </w:rPr>
              <w:t xml:space="preserve">Within 2–4 weeks</w:t>
            </w:r>
          </w:p>
        </w:tc>
        <w:tc>
          <w:tcPr/>
          <w:p>
            <w:pPr>
              <w:pStyle w:val="Compact"/>
              <w:jc w:val="left"/>
            </w:pPr>
            <w:r>
              <w:t xml:space="preserve">Coordinate steroid taper; glycemic regimen</w:t>
            </w:r>
          </w:p>
        </w:tc>
      </w:tr>
      <w:tr>
        <w:tc>
          <w:tcPr/>
          <w:p>
            <w:pPr>
              <w:pStyle w:val="Compact"/>
              <w:jc w:val="left"/>
            </w:pPr>
            <w:r>
              <w:t xml:space="preserve">Rheumatology</w:t>
            </w:r>
          </w:p>
        </w:tc>
        <w:tc>
          <w:tcPr/>
          <w:p>
            <w:pPr>
              <w:pStyle w:val="Compact"/>
              <w:jc w:val="left"/>
            </w:pPr>
            <w:r>
              <w:t xml:space="preserve">Soren Halvek, MD — Riverbend Rheumatology, (412) 555-0520</w:t>
            </w:r>
          </w:p>
        </w:tc>
        <w:tc>
          <w:tcPr/>
          <w:p>
            <w:pPr>
              <w:pStyle w:val="Compact"/>
              <w:jc w:val="left"/>
            </w:pPr>
            <w:r>
              <w:rPr>
                <w:bCs/>
                <w:b/>
              </w:rPr>
              <w:t xml:space="preserve">Within 2–4 weeks</w:t>
            </w:r>
          </w:p>
        </w:tc>
        <w:tc>
          <w:tcPr/>
          <w:p>
            <w:pPr>
              <w:pStyle w:val="Compact"/>
              <w:jc w:val="left"/>
            </w:pPr>
            <w:r>
              <w:t xml:space="preserve">Finalize structured prednisone taper</w:t>
            </w:r>
          </w:p>
        </w:tc>
      </w:tr>
    </w:tbl>
    <w:p>
      <w:pPr>
        <w:pStyle w:val="BodyText"/>
      </w:pPr>
      <w:r>
        <w:rPr>
          <w:bCs/>
          <w:b/>
        </w:rPr>
        <w:t xml:space="preserve">Coordinate restart sequencing between cardiology and nephrology</w:t>
      </w:r>
      <w:r>
        <w:t xml:space="preserve"> </w:t>
      </w:r>
      <w:r>
        <w:t xml:space="preserve">— neither service declared the patient ready for simultaneous restart of the held HFrEF/diabetes agents at discharge. Obtain an</w:t>
      </w:r>
      <w:r>
        <w:t xml:space="preserve"> </w:t>
      </w:r>
      <w:r>
        <w:rPr>
          <w:bCs/>
          <w:b/>
        </w:rPr>
        <w:t xml:space="preserve">early post-discharge BMP</w:t>
      </w:r>
      <w:r>
        <w:t xml:space="preserve"> </w:t>
      </w:r>
      <w:r>
        <w:t xml:space="preserve">to support safe restarts; do not restart spironolactone/sacubitril-valsartan without confirmed acceptable potassium and creatinine.</w:t>
      </w:r>
      <w:r>
        <w:t xml:space="preserve"> </w:t>
      </w:r>
      <w:r>
        <w:rPr>
          <w:bCs/>
          <w:b/>
        </w:rPr>
        <w:t xml:space="preserve">Prednisone taper must be reconciled against rheumatology intent</w:t>
      </w:r>
      <w:r>
        <w:t xml:space="preserve">, not old bottle directions.</w:t>
      </w:r>
    </w:p>
    <w:p>
      <w:pPr>
        <w:pStyle w:val="BodyText"/>
      </w:pPr>
      <w:r>
        <w:rPr>
          <w:bCs/>
          <w:b/>
        </w:rPr>
        <w:t xml:space="preserve">Pharmacy of record:</w:t>
      </w:r>
      <w:r>
        <w:t xml:space="preserve"> </w:t>
      </w:r>
      <w:r>
        <w:t xml:space="preserve">Harbor Crest Community Pharmacy, 318 Mill Ridge Road, Bridgehollow, PA 15213, (412) 555-0490.</w:t>
      </w:r>
      <w:r>
        <w:t xml:space="preserve"> </w:t>
      </w:r>
      <w:r>
        <w:rPr>
          <w:bCs/>
          <w:b/>
        </w:rPr>
        <w:t xml:space="preserve">Outpatient lab:</w:t>
      </w:r>
      <w:r>
        <w:t xml:space="preserve"> </w:t>
      </w:r>
      <w:r>
        <w:t xml:space="preserve">Mercy Vale Outpatient Laboratory — Harbor Crest, (412) 555-0455.</w:t>
      </w:r>
    </w:p>
    <w:p>
      <w:r>
        <w:pict>
          <v:rect style="width:0;height:1.5pt" o:hralign="center" o:hrstd="t" o:hr="t"/>
        </w:pict>
      </w:r>
    </w:p>
    <w:bookmarkEnd w:id="27"/>
    <w:bookmarkStart w:id="28" w:name="Xb8e6e08ab5339e7f6d303e16366bdaaab5c6cdc"/>
    <w:p>
      <w:pPr>
        <w:pStyle w:val="Heading2"/>
      </w:pPr>
      <w:r>
        <w:t xml:space="preserve">HOME SERVICES / TRANSITION STATUS (items in coordination at time of summary)</w:t>
      </w:r>
    </w:p>
    <w:p>
      <w:pPr>
        <w:pStyle w:val="FirstParagraph"/>
      </w:pPr>
      <w:r>
        <w:t xml:space="preserve">Case Management (Priya Ostroff, RN, CCM) and Social Work (Devra Aimes, LCSW) were coordinating the following; confirm each is finalized before/at discharge:</w:t>
      </w:r>
      <w:r>
        <w:t xml:space="preserve"> </w:t>
      </w:r>
      <w:r>
        <w:t xml:space="preserve">-</w:t>
      </w:r>
      <w:r>
        <w:t xml:space="preserve"> </w:t>
      </w:r>
      <w:r>
        <w:rPr>
          <w:bCs/>
          <w:b/>
        </w:rPr>
        <w:t xml:space="preserve">Home health nursing</w:t>
      </w:r>
      <w:r>
        <w:t xml:space="preserve"> </w:t>
      </w:r>
      <w:r>
        <w:t xml:space="preserve">for early medication review/monitoring — candidate agency</w:t>
      </w:r>
      <w:r>
        <w:t xml:space="preserve"> </w:t>
      </w:r>
      <w:r>
        <w:rPr>
          <w:bCs/>
          <w:b/>
        </w:rPr>
        <w:t xml:space="preserve">Keystone HomeCare Services</w:t>
      </w:r>
      <w:r>
        <w:t xml:space="preserve"> </w:t>
      </w:r>
      <w:r>
        <w:t xml:space="preserve">(412) 555-0631; acceptance pending.</w:t>
      </w:r>
      <w:r>
        <w:t xml:space="preserve"> </w:t>
      </w:r>
      <w:r>
        <w:t xml:space="preserve">-</w:t>
      </w:r>
      <w:r>
        <w:t xml:space="preserve"> </w:t>
      </w:r>
      <w:r>
        <w:rPr>
          <w:bCs/>
          <w:b/>
        </w:rPr>
        <w:t xml:space="preserve">DME:</w:t>
      </w:r>
      <w:r>
        <w:t xml:space="preserve"> </w:t>
      </w:r>
      <w:r>
        <w:t xml:space="preserve">rolling walker, bedside commode, bathroom grab bars — delivery to be confirmed; verify front-entry handrail (3 exterior steps) and remove loose rugs.</w:t>
      </w:r>
      <w:r>
        <w:t xml:space="preserve"> </w:t>
      </w:r>
      <w:r>
        <w:t xml:space="preserve">-</w:t>
      </w:r>
      <w:r>
        <w:t xml:space="preserve"> </w:t>
      </w:r>
      <w:r>
        <w:rPr>
          <w:bCs/>
          <w:b/>
        </w:rPr>
        <w:t xml:space="preserve">Therapy:</w:t>
      </w:r>
      <w:r>
        <w:t xml:space="preserve"> </w:t>
      </w:r>
      <w:r>
        <w:t xml:space="preserve">home vs. outpatient PT/OT per final functional plan.</w:t>
      </w:r>
      <w:r>
        <w:t xml:space="preserve"> </w:t>
      </w:r>
      <w:r>
        <w:t xml:space="preserve">-</w:t>
      </w:r>
      <w:r>
        <w:t xml:space="preserve"> </w:t>
      </w:r>
      <w:r>
        <w:rPr>
          <w:bCs/>
          <w:b/>
        </w:rPr>
        <w:t xml:space="preserve">Transportation</w:t>
      </w:r>
      <w:r>
        <w:t xml:space="preserve"> </w:t>
      </w:r>
      <w:r>
        <w:t xml:space="preserve">for discharge and the +7-day PCP visit — family vehicle vs. plan-linked non-emergency transport; daughter can cover weekend daytime/transport but not weekday mornings.</w:t>
      </w:r>
      <w:r>
        <w:t xml:space="preserve"> </w:t>
      </w:r>
      <w:r>
        <w:t xml:space="preserve">-</w:t>
      </w:r>
      <w:r>
        <w:t xml:space="preserve"> </w:t>
      </w:r>
      <w:r>
        <w:rPr>
          <w:bCs/>
          <w:b/>
        </w:rPr>
        <w:t xml:space="preserve">Family medication education / teach-back</w:t>
      </w:r>
      <w:r>
        <w:t xml:space="preserve"> </w:t>
      </w:r>
      <w:r>
        <w:t xml:space="preserve">with an accountable owner, with Mara (and Lenora by phone) present.</w:t>
      </w:r>
      <w:r>
        <w:t xml:space="preserve"> </w:t>
      </w:r>
      <w:r>
        <w:t xml:space="preserve">-</w:t>
      </w:r>
      <w:r>
        <w:t xml:space="preserve"> </w:t>
      </w:r>
      <w:r>
        <w:rPr>
          <w:bCs/>
          <w:b/>
        </w:rPr>
        <w:t xml:space="preserve">Supervision plan:</w:t>
      </w:r>
      <w:r>
        <w:t xml:space="preserve"> </w:t>
      </w:r>
      <w:r>
        <w:t xml:space="preserve">family can supervise; the specific first-week coverage (overnight, medication times, ambulation) should be made explicit, not assumed.</w:t>
      </w:r>
    </w:p>
    <w:p>
      <w:r>
        <w:pict>
          <v:rect style="width:0;height:1.5pt" o:hralign="center" o:hrstd="t" o:hr="t"/>
        </w:pict>
      </w:r>
    </w:p>
    <w:bookmarkEnd w:id="28"/>
    <w:bookmarkStart w:id="29" w:name="functional-status-at-discharge"/>
    <w:p>
      <w:pPr>
        <w:pStyle w:val="Heading2"/>
      </w:pPr>
      <w:r>
        <w:t xml:space="preserve">FUNCTIONAL STATUS AT DISCHARGE</w:t>
      </w:r>
    </w:p>
    <w:p>
      <w:pPr>
        <w:pStyle w:val="FirstParagraph"/>
      </w:pPr>
      <w:r>
        <w:t xml:space="preserve">Ambulates short-to-moderate distances (100–150 ft) with a</w:t>
      </w:r>
      <w:r>
        <w:t xml:space="preserve"> </w:t>
      </w:r>
      <w:r>
        <w:rPr>
          <w:bCs/>
          <w:b/>
        </w:rPr>
        <w:t xml:space="preserve">rolling walker and supervision</w:t>
      </w:r>
      <w:r>
        <w:t xml:space="preserve">; sit-to-stand with supervision and cueing; high fall risk (Morse 65, improving). ADLs at supervision level. Cognition clearer than on admission but still slowed on complex/multi-step tasks;</w:t>
      </w:r>
      <w:r>
        <w:t xml:space="preserve"> </w:t>
      </w:r>
      <w:r>
        <w:rPr>
          <w:bCs/>
          <w:b/>
        </w:rPr>
        <w:t xml:space="preserve">not yet independent for managing his complex medication regimen</w:t>
      </w:r>
      <w:r>
        <w:t xml:space="preserve"> </w:t>
      </w:r>
      <w:r>
        <w:t xml:space="preserve">— family oversight required initially. Baseline (pre-illness) was independent ADLs with a cane only for distance and mild forgetfulness only.</w:t>
      </w:r>
    </w:p>
    <w:p>
      <w:r>
        <w:pict>
          <v:rect style="width:0;height:1.5pt" o:hralign="center" o:hrstd="t" o:hr="t"/>
        </w:pict>
      </w:r>
    </w:p>
    <w:bookmarkEnd w:id="29"/>
    <w:bookmarkStart w:id="30" w:name="patient-family-and-code-status"/>
    <w:p>
      <w:pPr>
        <w:pStyle w:val="Heading2"/>
      </w:pPr>
      <w:r>
        <w:t xml:space="preserve">PATIENT / FAMILY AND CODE STATUS</w:t>
      </w:r>
    </w:p>
    <w:p>
      <w:pPr>
        <w:pStyle w:val="FirstParagraph"/>
      </w:pPr>
      <w:r>
        <w:t xml:space="preserve">Wife</w:t>
      </w:r>
      <w:r>
        <w:t xml:space="preserve"> </w:t>
      </w:r>
      <w:r>
        <w:rPr>
          <w:bCs/>
          <w:b/>
        </w:rPr>
        <w:t xml:space="preserve">Mara Merrow</w:t>
      </w:r>
      <w:r>
        <w:t xml:space="preserve"> </w:t>
      </w:r>
      <w:r>
        <w:t xml:space="preserve">is the healthcare proxy, primary caregiver, and historian; adult daughter</w:t>
      </w:r>
      <w:r>
        <w:t xml:space="preserve"> </w:t>
      </w:r>
      <w:r>
        <w:rPr>
          <w:bCs/>
          <w:b/>
        </w:rPr>
        <w:t xml:space="preserve">Lenora Merrow-Halsey</w:t>
      </w:r>
      <w:r>
        <w:t xml:space="preserve"> </w:t>
      </w:r>
      <w:r>
        <w:t xml:space="preserve">provides intermittent support. Family was engaged throughout and in a HD5 care conference; their recorded position —</w:t>
      </w:r>
      <w:r>
        <w:t xml:space="preserve"> </w:t>
      </w:r>
      <w:r>
        <w:rPr>
          <w:iCs/>
          <w:i/>
        </w:rPr>
        <w:t xml:space="preserve">“</w:t>
      </w:r>
      <w:r>
        <w:rPr>
          <w:iCs/>
          <w:i/>
        </w:rPr>
        <w:t xml:space="preserve">Better than Monday is not the same as ready to manage the next steps without support</w:t>
      </w:r>
      <w:r>
        <w:rPr>
          <w:iCs/>
          <w:i/>
        </w:rPr>
        <w:t xml:space="preserve">”</w:t>
      </w:r>
      <w:r>
        <w:t xml:space="preserve"> </w:t>
      </w:r>
      <w:r>
        <w:t xml:space="preserve">— was treated as valid, baseline-informed collateral and shaped the supervision and medication-safety plan.</w:t>
      </w:r>
      <w:r>
        <w:t xml:space="preserve"> </w:t>
      </w:r>
      <w:r>
        <w:rPr>
          <w:bCs/>
          <w:b/>
        </w:rPr>
        <w:t xml:space="preserve">Code status: Full Code.</w:t>
      </w:r>
    </w:p>
    <w:p>
      <w:r>
        <w:pict>
          <v:rect style="width:0;height:1.5pt" o:hralign="center" o:hrstd="t" o:hr="t"/>
        </w:pict>
      </w:r>
    </w:p>
    <w:bookmarkEnd w:id="30"/>
    <w:bookmarkStart w:id="31" w:name="Xb0fd519c6cbe1a4b633842a60363477dd7940be"/>
    <w:p>
      <w:pPr>
        <w:pStyle w:val="Heading2"/>
      </w:pPr>
      <w:r>
        <w:t xml:space="preserve">RETURN / WARNING PRECAUTIONS (given to patient and family)</w:t>
      </w:r>
    </w:p>
    <w:p>
      <w:pPr>
        <w:pStyle w:val="FirstParagraph"/>
      </w:pPr>
      <w:r>
        <w:t xml:space="preserve">Return to the ED (call (412) 555-0150) or seek urgent care for:</w:t>
      </w:r>
      <w:r>
        <w:t xml:space="preserve"> </w:t>
      </w:r>
      <w:r>
        <w:rPr>
          <w:bCs/>
          <w:b/>
        </w:rPr>
        <w:t xml:space="preserve">fever or chills; recurrent or worsening weakness; lightheadedness or another near-fall; new or worsening confusion; chest pain or shortness of breath; weight gain, worsening leg swelling, or orthopnea; markedly decreased oral intake or signs of dehydration; inability to keep down medications.</w:t>
      </w:r>
      <w:r>
        <w:t xml:space="preserve"> </w:t>
      </w:r>
      <w:r>
        <w:t xml:space="preserve">For steroid safety: if he develops a febrile illness, persistent vomiting, or significant dehydration,</w:t>
      </w:r>
      <w:r>
        <w:t xml:space="preserve"> </w:t>
      </w:r>
      <w:r>
        <w:rPr>
          <w:bCs/>
          <w:b/>
        </w:rPr>
        <w:t xml:space="preserve">contact his physicians promptly for stress-dose guidance rather than stopping or self-adjusting prednisone.</w:t>
      </w:r>
      <w:r>
        <w:t xml:space="preserve"> </w:t>
      </w:r>
      <w:r>
        <w:t xml:space="preserve">For glucose: report persistent highs/lows. Urgent cardiac or renal symptoms should prompt contact with the respective follow-up clinician or the PCP.</w:t>
      </w:r>
    </w:p>
    <w:p>
      <w:r>
        <w:pict>
          <v:rect style="width:0;height:1.5pt" o:hralign="center" o:hrstd="t" o:hr="t"/>
        </w:pict>
      </w:r>
    </w:p>
    <w:p>
      <w:pPr>
        <w:pStyle w:val="FirstParagraph"/>
      </w:pPr>
      <w:r>
        <w:rPr>
          <w:iCs/>
          <w:i/>
        </w:rPr>
        <w:t xml:space="preserve">Prepared for the hospitalization of Korvin Merrow (MRN KM-6427819), Mercy Vale Regional Medical Center, Hospital Medicine. Dictated/prepared 05/23/2026 for planned discharge 05/24/2026. Attending of record: Elian Vossmere, MD (NPI 1528374960). To be finalized with the discharge order, final medication reconciliation, and confirmed culture results.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2026-06-07T04:51:08Z</dcterms:created>
  <dcterms:modified xsi:type="dcterms:W3CDTF">2026-06-07T04:51:08Z</dcterms:modified>
</cp:coreProperties>
</file>

<file path=docProps/custom.xml><?xml version="1.0" encoding="utf-8"?>
<Properties xmlns="http://schemas.openxmlformats.org/officeDocument/2006/custom-properties" xmlns:vt="http://schemas.openxmlformats.org/officeDocument/2006/docPropsVTypes"/>
</file>