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Summary - Working Draft</w:t>
            </w:r>
          </w:p>
        </w:tc>
      </w:tr>
    </w:tbl>
    <w:p/>
    <w:p>
      <w:r>
        <w:rPr>
          <w:rFonts w:ascii="Arial" w:hAnsi="Arial"/>
          <w:b/>
          <w:i w:val="0"/>
          <w:color w:val="1F3864"/>
          <w:sz w:val="28"/>
        </w:rPr>
        <w:t>DISCHARGE SUMMARY - WORKING DRAFT</w:t>
      </w:r>
    </w:p>
    <w:p>
      <w:r>
        <w:rPr>
          <w:rFonts w:ascii="Arial" w:hAnsi="Arial"/>
          <w:b w:val="0"/>
          <w:i w:val="0"/>
          <w:color w:val="5E6670"/>
          <w:sz w:val="16"/>
        </w:rPr>
        <w:t>Author: E. Vossmere, MD  |  Department: Hospital Medicine  |  05/24/2026  |  Status: Draft (incomplete)</w:t>
      </w:r>
    </w:p>
    <w:p>
      <w:pPr>
        <w:spacing w:before="180" w:after="60"/>
        <w:pBdr>
          <w:bottom w:val="single" w:sz="6" w:color="C9D4EA" w:space="2"/>
        </w:pBdr>
      </w:pPr>
      <w:r>
        <w:rPr>
          <w:rFonts w:ascii="Arial" w:hAnsi="Arial"/>
          <w:b/>
          <w:i w:val="0"/>
          <w:color w:val="4472C4"/>
          <w:sz w:val="20"/>
        </w:rPr>
        <w:t>WORKING DRAFT - INCOMPLETE</w:t>
      </w:r>
    </w:p>
    <w:p>
      <w:r>
        <w:rPr>
          <w:rFonts w:ascii="Arial" w:hAnsi="Arial"/>
          <w:b w:val="0"/>
          <w:i w:val="0"/>
          <w:color w:val="232830"/>
          <w:sz w:val="19"/>
        </w:rPr>
        <w:t>Started this morning (05/24) and pulled to a rapid response before I could finish. Picking-up team: please complete the open sections and put this in final form for sign-out today. What is below is what I had; finish from the chart.</w:t>
      </w:r>
    </w:p>
    <w:p>
      <w:pPr>
        <w:spacing w:before="180" w:after="60"/>
        <w:pBdr>
          <w:bottom w:val="single" w:sz="6" w:color="C9D4EA" w:space="2"/>
        </w:pBdr>
      </w:pPr>
      <w:r>
        <w:rPr>
          <w:rFonts w:ascii="Arial" w:hAnsi="Arial"/>
          <w:b/>
          <w:i w:val="0"/>
          <w:color w:val="4472C4"/>
          <w:sz w:val="20"/>
        </w:rPr>
        <w:t>REASON FOR ADMISSION</w:t>
      </w:r>
    </w:p>
    <w:p>
      <w:r>
        <w:rPr>
          <w:rFonts w:ascii="Arial" w:hAnsi="Arial"/>
          <w:b w:val="0"/>
          <w:i w:val="0"/>
          <w:color w:val="232830"/>
          <w:sz w:val="19"/>
        </w:rPr>
        <w:t>62-year-old man with HFrEF, CAD s/p remote PCI/stent, CKD stage 3, type 2 diabetes, PMR on chronic prednisone with uncertain taper, admitted 05/18 after about three weeks of decline (weakness, poor intake, lightheadedness with a near-fall, family-noted confusion). Suspected urinary-source infection with sepsis physiology on a mixed-physiology background.</w:t>
      </w:r>
    </w:p>
    <w:p>
      <w:pPr>
        <w:spacing w:before="180" w:after="60"/>
        <w:pBdr>
          <w:bottom w:val="single" w:sz="6" w:color="C9D4EA" w:space="2"/>
        </w:pBdr>
      </w:pPr>
      <w:r>
        <w:rPr>
          <w:rFonts w:ascii="Arial" w:hAnsi="Arial"/>
          <w:b/>
          <w:i w:val="0"/>
          <w:color w:val="4472C4"/>
          <w:sz w:val="20"/>
        </w:rPr>
        <w:t>HOSPITAL COURSE</w:t>
      </w:r>
    </w:p>
    <w:p>
      <w:r>
        <w:rPr>
          <w:rFonts w:ascii="Arial" w:hAnsi="Arial"/>
          <w:b w:val="0"/>
          <w:i w:val="0"/>
          <w:color w:val="232830"/>
          <w:sz w:val="19"/>
        </w:rPr>
        <w:t>Admitted to Hospital Medicine, started on empiric ceftriaxone with cautious fluids given HFrEF and CKD. Urine culture grew E. coli sensitive to ceftriaxone, and antibiotics were narrowed to oral cefpodoxime accordingly; he completed therapy with resolution of the infection. AKI on CKD (creatinine 2.62 to 1.80) resolved to baseline. Cardiorenal medications were held during the AKI, with nephrology and cardiology following for staged restart. Endocrinology followed the chronic steroid exposure; the prednisone taper is to be reconciled with rheumatology. PT, OT, and nursing documented function below baseline with high fall risk.</w:t>
      </w:r>
    </w:p>
    <w:p>
      <w:pPr>
        <w:spacing w:before="180" w:after="60"/>
        <w:pBdr>
          <w:bottom w:val="single" w:sz="6" w:color="C9D4EA" w:space="2"/>
        </w:pBdr>
      </w:pPr>
      <w:r>
        <w:rPr>
          <w:rFonts w:ascii="Arial" w:hAnsi="Arial"/>
          <w:b/>
          <w:i w:val="0"/>
          <w:color w:val="4472C4"/>
          <w:sz w:val="20"/>
        </w:rPr>
        <w:t>DISCHARGE DIAGNOSES</w:t>
      </w:r>
    </w:p>
    <w:p>
      <w:r>
        <w:rPr>
          <w:rFonts w:ascii="Arial" w:hAnsi="Arial"/>
          <w:b w:val="0"/>
          <w:i w:val="0"/>
          <w:color w:val="232830"/>
          <w:sz w:val="19"/>
        </w:rPr>
        <w:t>1. Urinary tract infection / urosepsis, resolved. 2. AKI on CKD stage 3, resolved to baseline. 3. HFrEF and CAD, chronic therapy with staged restart. 4. [finish the remaining problems from the problem list]</w:t>
      </w:r>
    </w:p>
    <w:p>
      <w:pPr>
        <w:spacing w:before="180" w:after="60"/>
        <w:pBdr>
          <w:bottom w:val="single" w:sz="6" w:color="C9D4EA" w:space="2"/>
        </w:pBdr>
      </w:pPr>
      <w:r>
        <w:rPr>
          <w:rFonts w:ascii="Arial" w:hAnsi="Arial"/>
          <w:b/>
          <w:i w:val="0"/>
          <w:color w:val="4472C4"/>
          <w:sz w:val="20"/>
        </w:rPr>
        <w:t>CONDITION AT DISCHARGE</w:t>
      </w:r>
    </w:p>
    <w:p>
      <w:r>
        <w:rPr>
          <w:rFonts w:ascii="Arial" w:hAnsi="Arial"/>
          <w:b w:val="0"/>
          <w:i w:val="0"/>
          <w:color w:val="232830"/>
          <w:sz w:val="19"/>
        </w:rPr>
        <w:t>Stable, afebrile, ambulating with supervision. Discharged home with home health services (Keystone HomeCare).</w:t>
      </w:r>
    </w:p>
    <w:p>
      <w:pPr>
        <w:spacing w:before="180" w:after="60"/>
        <w:pBdr>
          <w:bottom w:val="single" w:sz="6" w:color="C9D4EA" w:space="2"/>
        </w:pBdr>
      </w:pPr>
      <w:r>
        <w:rPr>
          <w:rFonts w:ascii="Arial" w:hAnsi="Arial"/>
          <w:b/>
          <w:i w:val="0"/>
          <w:color w:val="4472C4"/>
          <w:sz w:val="20"/>
        </w:rPr>
        <w:t>DISCHARGE MEDICATIONS</w:t>
      </w:r>
    </w:p>
    <w:p>
      <w:r>
        <w:rPr>
          <w:rFonts w:ascii="Arial" w:hAnsi="Arial"/>
          <w:b w:val="0"/>
          <w:i w:val="0"/>
          <w:color w:val="232830"/>
          <w:sz w:val="19"/>
        </w:rPr>
        <w:t>[TO COMPLETE - reconcile the final list with pharmacy; confirm cardiorenal restarts and the prednisone instruction]</w:t>
      </w:r>
    </w:p>
    <w:p>
      <w:pPr>
        <w:spacing w:before="180" w:after="60"/>
        <w:pBdr>
          <w:bottom w:val="single" w:sz="6" w:color="C9D4EA" w:space="2"/>
        </w:pBdr>
      </w:pPr>
      <w:r>
        <w:rPr>
          <w:rFonts w:ascii="Arial" w:hAnsi="Arial"/>
          <w:b/>
          <w:i w:val="0"/>
          <w:color w:val="4472C4"/>
          <w:sz w:val="20"/>
        </w:rPr>
        <w:t>FOLLOW-UP</w:t>
      </w:r>
    </w:p>
    <w:p>
      <w:r>
        <w:rPr>
          <w:rFonts w:ascii="Arial" w:hAnsi="Arial"/>
          <w:b w:val="0"/>
          <w:i w:val="0"/>
          <w:color w:val="232830"/>
          <w:sz w:val="19"/>
        </w:rPr>
        <w:t>[TO COMPLETE - PCP, nephrology, cardiology, endocrine and rheumatology windows and labs]</w:t>
      </w:r>
    </w:p>
    <w:p>
      <w:pPr>
        <w:spacing w:before="200"/>
        <w:pBdr>
          <w:top w:val="single" w:sz="4" w:color="C9D4EA" w:space="4"/>
        </w:pBdr>
      </w:pPr>
      <w:r>
        <w:rPr>
          <w:rFonts w:ascii="Arial" w:hAnsi="Arial"/>
          <w:b w:val="0"/>
          <w:i/>
          <w:color w:val="5E6670"/>
          <w:sz w:val="18"/>
        </w:rPr>
        <w:t>Working draft started by E. Vossmere, MD; incomplete, complete and sign at discharge  |  Hospital Medicine</w:t>
      </w:r>
    </w:p>
    <w:sectPr w:rsidR="00FC693F" w:rsidRPr="0006063C" w:rsidSect="00034616">
      <w:headerReference w:type="default" r:id="rId9"/>
      <w:footerReference w:type="default" r:id="rId10"/>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Summary - Working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