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05/24/2026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5 West Medical, Room 5W-318</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E. Vossmere,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Hospital Medicine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Interdisciplinary Care Plan - Draft</w:t>
            </w:r>
          </w:p>
        </w:tc>
      </w:tr>
    </w:tbl>
    <w:p/>
    <w:p>
      <w:r>
        <w:rPr>
          <w:rFonts w:ascii="Arial" w:hAnsi="Arial"/>
          <w:b/>
          <w:i w:val="0"/>
          <w:color w:val="1F3864"/>
          <w:sz w:val="28"/>
        </w:rPr>
        <w:t>INTERDISCIPLINARY CARE PLAN - TRANSITION TO HOME</w:t>
      </w:r>
    </w:p>
    <w:p>
      <w:r>
        <w:rPr>
          <w:rFonts w:ascii="Arial" w:hAnsi="Arial"/>
          <w:b w:val="0"/>
          <w:i w:val="0"/>
          <w:color w:val="5E6670"/>
          <w:sz w:val="16"/>
        </w:rPr>
        <w:t>Author: Elian Vossmere, MD  |  Department: Hospital Medicine  |  05/24/2026  |  Status: Draft for finalization</w:t>
      </w:r>
    </w:p>
    <w:p>
      <w:pPr>
        <w:spacing w:before="180" w:after="60"/>
        <w:pBdr>
          <w:bottom w:val="single" w:sz="6" w:color="C9D4EA" w:space="2"/>
        </w:pBdr>
      </w:pPr>
      <w:r>
        <w:rPr>
          <w:rFonts w:ascii="Arial" w:hAnsi="Arial"/>
          <w:b/>
          <w:i w:val="0"/>
          <w:color w:val="4472C4"/>
          <w:sz w:val="20"/>
        </w:rPr>
        <w:t>WORKING DRAFT - to finalize and file for the transition home today, 05/24/2026.</w:t>
      </w:r>
    </w:p>
    <w:p>
      <w:r>
        <w:rPr>
          <w:rFonts w:ascii="Arial" w:hAnsi="Arial"/>
          <w:b w:val="0"/>
          <w:i w:val="0"/>
          <w:color w:val="232830"/>
          <w:sz w:val="19"/>
        </w:rPr>
        <w:t>Summary: Mr. Merrow is a 62-year-old man on this admission for suspected urinary-source infection with sepsis physiology and acute kidney injury on CKD stage 3, on a background of HFrEF and CAD with protective therapy held, type 2 diabetes, polymyalgia rheumatica on chronic prednisone of uncertain current dose, obstructive sleep apnea on home CPAP, and anemia of chronic kidney disease. He is improving and planned for discharge home on 05/24/2026. This interdisciplinary plan consolidates the consult recommendations for filing.</w:t>
      </w:r>
    </w:p>
    <w:p>
      <w:r>
        <w:rPr>
          <w:rFonts w:ascii="Arial" w:hAnsi="Arial"/>
          <w:b w:val="0"/>
          <w:i w:val="0"/>
          <w:color w:val="232830"/>
          <w:sz w:val="19"/>
        </w:rPr>
        <w:t>Infection and sepsis physiology: suspected urinary-source infection, clinically improving. Parenteral therapy completed with oral step-down in progress; final stop date and any outpatient course to be confirmed at discharge with renal dosing review. Afebrile trend, downtrending white count.</w:t>
      </w:r>
    </w:p>
    <w:p>
      <w:r>
        <w:rPr>
          <w:rFonts w:ascii="Arial" w:hAnsi="Arial"/>
          <w:b w:val="0"/>
          <w:i w:val="0"/>
          <w:color w:val="232830"/>
          <w:sz w:val="19"/>
        </w:rPr>
        <w:t>Acute kidney injury on CKD stage 3: prerenal AKI from poor intake and infection-related hemodynamics, resolved by laboratory criteria with creatinine returned to the outpatient baseline range. Volume and hemodynamic status to be monitored after discharge; furosemide remains held; recheck renal function at outpatient follow-up.</w:t>
      </w:r>
    </w:p>
    <w:p>
      <w:r>
        <w:rPr>
          <w:rFonts w:ascii="Arial" w:hAnsi="Arial"/>
          <w:b w:val="0"/>
          <w:i w:val="0"/>
          <w:color w:val="232830"/>
          <w:sz w:val="19"/>
        </w:rPr>
        <w:t>HFrEF and CAD protective therapy: sacubitril/valsartan, spironolactone, empagliflozin, and furosemide held. Carvedilol continued cautiously rather than allowed to lapse. Restart of the held agents is staged, parameter-gated, and coordinated between cardiology and nephrology; sequencing is not finalized inpatient. Outpatient cardiology follow-up within two weeks for restart titration, blood-pressure and orthostatic assessment, and the final ambulatory regimen. Provide clear written restart instructions to the family.</w:t>
      </w:r>
    </w:p>
    <w:p>
      <w:r>
        <w:rPr>
          <w:rFonts w:ascii="Arial" w:hAnsi="Arial"/>
          <w:b w:val="0"/>
          <w:i w:val="0"/>
          <w:color w:val="232830"/>
          <w:sz w:val="19"/>
        </w:rPr>
        <w:t>Glycemic management: type 2 diabetes, A1c at the patient's baseline range. Metformin held in the setting of renal recovery. Inpatient correctional insulin is not carried home; resume the outpatient regimen with primary-care follow-up. Reconcile at discharge.</w:t>
      </w:r>
    </w:p>
    <w:p>
      <w:r>
        <w:rPr>
          <w:rFonts w:ascii="Arial" w:hAnsi="Arial"/>
          <w:b w:val="0"/>
          <w:i w:val="0"/>
          <w:color w:val="232830"/>
          <w:sz w:val="19"/>
        </w:rPr>
        <w:t>Polymyalgia rheumatica and steroid management: chronic prednisone for PMR. Outpatient rheumatology provenance documents a cautious slow-taper intent. Current home dose is not established from the inpatient record; do not assert a numeric dose. Reconcile the exact dose and taper with rheumatology at follow-up; maintain continuity of steroid therapy in the interim per rheumatology intent.</w:t>
      </w:r>
    </w:p>
    <w:p>
      <w:r>
        <w:rPr>
          <w:rFonts w:ascii="Arial" w:hAnsi="Arial"/>
          <w:b w:val="0"/>
          <w:i w:val="0"/>
          <w:color w:val="232830"/>
          <w:sz w:val="19"/>
        </w:rPr>
        <w:t>Anemia of chronic kidney disease: iron studies this admission were within target and hemoglobin is stable at goal; anemia is adequately managed on ferrous sulfate, with no additional hematologic workup or follow-up indicated.</w:t>
      </w:r>
    </w:p>
    <w:p>
      <w:r>
        <w:rPr>
          <w:rFonts w:ascii="Arial" w:hAnsi="Arial"/>
          <w:b w:val="0"/>
          <w:i w:val="0"/>
          <w:color w:val="232830"/>
          <w:sz w:val="19"/>
        </w:rPr>
        <w:t>Functional status and mobility: below prior indoor baseline, improving. Rolling walker rather than cane for the immediate post-discharge period; bedside commode initially, grab bars, and removal of loose rugs. Supervised mobility for the first five to seven days with reassessment by home or outpatient physical therapy.</w:t>
      </w:r>
    </w:p>
    <w:p>
      <w:r>
        <w:rPr>
          <w:rFonts w:ascii="Arial" w:hAnsi="Arial"/>
          <w:b w:val="0"/>
          <w:i w:val="0"/>
          <w:color w:val="232830"/>
          <w:sz w:val="19"/>
        </w:rPr>
        <w:t>Cognition and medication management: reproducible timing errors with twice-daily and as-needed dosing under fatigue. Pre-filled weekly pill organizer with supervision; filling should not be the patient's sole responsibility in the early window. Teach-back education with family for any new or changed medication. Daily family verification at medication times for the first five to seven days. Outpatient occupational-therapy referral if medication-management performance has not progressed by thirty days.</w:t>
      </w:r>
    </w:p>
    <w:p>
      <w:r>
        <w:rPr>
          <w:rFonts w:ascii="Arial" w:hAnsi="Arial"/>
          <w:b w:val="0"/>
          <w:i w:val="0"/>
          <w:color w:val="232830"/>
          <w:sz w:val="19"/>
        </w:rPr>
        <w:t>Family and caregiver plan: wife Mara Merrow is the designated healthcare proxy and primary caregiver. Adult daughter Lenora Merrow-Halsey provides intermittent support including transportation and weekend coverage; she is not the weekday-morning caregiver. First-week in-home supervision level to be finalized with explicit expectations for the family rather than assumptions.</w:t>
      </w:r>
    </w:p>
    <w:p>
      <w:r>
        <w:rPr>
          <w:rFonts w:ascii="Arial" w:hAnsi="Arial"/>
          <w:b w:val="0"/>
          <w:i w:val="0"/>
          <w:color w:val="232830"/>
          <w:sz w:val="19"/>
        </w:rPr>
        <w:t>Obstructive sleep apnea: continue home CPAP.</w:t>
      </w:r>
    </w:p>
    <w:p>
      <w:r>
        <w:rPr>
          <w:rFonts w:ascii="Arial" w:hAnsi="Arial"/>
          <w:b w:val="0"/>
          <w:i w:val="0"/>
          <w:color w:val="232830"/>
          <w:sz w:val="19"/>
        </w:rPr>
        <w:t>Discharge logistics and follow-up: planned discharge 05/24/2026. Home services in coordination through Case Management, including skilled-nursing referral, therapy continuation, and equipment. Follow-up with cardiology within two weeks, primary care, rheumatology, and nephrology. Family present for discharge teaching.</w:t>
      </w:r>
    </w:p>
    <w:p>
      <w:pPr>
        <w:spacing w:before="200"/>
        <w:pBdr>
          <w:top w:val="single" w:sz="4" w:color="C9D4EA" w:space="4"/>
        </w:pBdr>
      </w:pPr>
      <w:r>
        <w:rPr>
          <w:rFonts w:ascii="Arial" w:hAnsi="Arial"/>
          <w:b w:val="0"/>
          <w:i/>
          <w:color w:val="5E6670"/>
          <w:sz w:val="18"/>
        </w:rPr>
        <w:t>Working draft started by Elian Vossmere, MD; finalize and file for the transition home, 05/24/2026  |  Hospital Medicine</w:t>
      </w:r>
    </w:p>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Interdisciplinary Care Plan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