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sz w:val="19"/>
              </w:rPr>
              <w:t>Document</w:t>
            </w:r>
            <w:r>
              <w:rPr>
                <w:rFonts w:ascii="Arial" w:hAnsi="Arial"/>
                <w:sz w:val="19"/>
              </w:rPr>
              <w:t xml:space="preserve">  Discharge Summary</w:t>
            </w:r>
          </w:p>
        </w:tc>
      </w:tr>
    </w:tbl>
    <w:p>
      <w:pPr>
        <w:spacing w:after="20" w:before="0"/>
      </w:pPr>
      <w:r>
        <w:rPr>
          <w:rFonts w:ascii="Arial" w:hAnsi="Arial" w:cs="Arial"/>
          <w:b/>
          <w:i w:val="0"/>
          <w:sz w:val="26"/>
        </w:rPr>
        <w:t>DISCHARGE SUMMARY</w:t>
      </w:r>
    </w:p>
    <w:p>
      <w:pPr>
        <w:spacing w:after="40" w:before="0"/>
      </w:pPr>
      <w:r>
        <w:rPr>
          <w:rFonts w:ascii="Arial" w:hAnsi="Arial" w:cs="Arial"/>
          <w:b w:val="0"/>
          <w:i/>
          <w:sz w:val="18"/>
        </w:rPr>
        <w:t>Author: Elian Vossmere, MD  |  Department: Hospital Medicine  |  Date of discharge: 05/24/2026  |  Status: Final</w:t>
      </w:r>
    </w:p>
    <w:p>
      <w:pPr>
        <w:spacing w:after="160" w:before="0"/>
      </w:pPr>
      <w:r>
        <w:rPr>
          <w:rFonts w:ascii="Arial" w:hAnsi="Arial" w:cs="Arial"/>
          <w:b w:val="0"/>
          <w:i/>
          <w:sz w:val="18"/>
        </w:rPr>
        <w:t>Admission 05/18/2026 (HD1)  –  Discharge 05/24/2026 (HD7)   |   Service: Hospital Medicine, 5 West Medical (5W-318)   |   Co-author: Ines Travyn, MD (PGY-2)</w:t>
      </w:r>
    </w:p>
    <w:p>
      <w:pPr>
        <w:keepNext/>
        <w:spacing w:after="60" w:before="160"/>
      </w:pPr>
      <w:r>
        <w:rPr>
          <w:rFonts w:ascii="Arial" w:hAnsi="Arial" w:cs="Arial"/>
          <w:b/>
          <w:i w:val="0"/>
          <w:sz w:val="20"/>
        </w:rPr>
        <w:t>REASON FOR ADMISSION / CHIEF COMPLAINT</w:t>
      </w:r>
    </w:p>
    <w:p>
      <w:pPr>
        <w:spacing w:after="120" w:before="0"/>
      </w:pPr>
      <w:r>
        <w:rPr>
          <w:rFonts w:ascii="Arial" w:hAnsi="Arial" w:cs="Arial"/>
          <w:b w:val="0"/>
          <w:i w:val="0"/>
          <w:sz w:val="19"/>
        </w:rPr>
        <w:t>62-year-old man with HFrEF, CAD status post remote PCI/stent (mid-LAD drug-eluting stent, 2018), CKD stage 3, type 2 diabetes mellitus, and polymyalgia rheumatica on chronic prednisone of uncertain taper, admitted 05/18/2026 after approximately three weeks of progressive decline (weakness, poor oral intake, lightheadedness with a near-fall at home on 05/17, and family-noted evening confusion). He was admitted with a suspected urinary-source infection and sepsis physiology on a mixed-physiology background (volume depletion, AKI on CKD, and cardiorenal medication burden).</w:t>
      </w:r>
    </w:p>
    <w:p>
      <w:pPr>
        <w:keepNext/>
        <w:spacing w:after="60" w:before="160"/>
      </w:pPr>
      <w:r>
        <w:rPr>
          <w:rFonts w:ascii="Arial" w:hAnsi="Arial" w:cs="Arial"/>
          <w:b/>
          <w:i w:val="0"/>
          <w:sz w:val="20"/>
        </w:rPr>
        <w:t>HOSPITAL COURSE</w:t>
      </w:r>
    </w:p>
    <w:p>
      <w:pPr>
        <w:spacing w:after="120" w:before="0"/>
      </w:pPr>
      <w:r>
        <w:rPr>
          <w:rFonts w:ascii="Arial" w:hAnsi="Arial" w:cs="Arial"/>
          <w:b w:val="0"/>
          <w:i w:val="0"/>
          <w:sz w:val="19"/>
        </w:rPr>
        <w:t>Mr. Merrow was admitted to Hospital Medicine and treated empirically for a suspected urinary-source infection while the broader multifactorial picture was worked up. Empiric ceftriaxone 1 g IV every 24 hours was started (cultures drawn prior to the first dose) with cautious crystalloid resuscitation given his HFrEF and CKD. He defervesced after antibiotics were initiated and his WBC normalized (15.6 → 9.4 ×10⁹/L over HD1–HD6). He was transitioned to oral cefpodoxime 200 mg PO BID on HD4 as he improved clinically and tolerated oral intake.</w:t>
      </w:r>
    </w:p>
    <w:p>
      <w:pPr>
        <w:spacing w:after="120" w:before="0"/>
      </w:pPr>
      <w:r>
        <w:rPr>
          <w:rFonts w:ascii="Arial" w:hAnsi="Arial" w:cs="Arial"/>
          <w:b/>
          <w:i w:val="0"/>
          <w:sz w:val="19"/>
        </w:rPr>
        <w:t xml:space="preserve">Culture result – to confirm at sign-out: </w:t>
      </w:r>
      <w:r>
        <w:rPr>
          <w:rFonts w:ascii="Arial" w:hAnsi="Arial" w:cs="Arial"/>
          <w:b w:val="0"/>
          <w:i w:val="0"/>
          <w:sz w:val="19"/>
        </w:rPr>
        <w:t>the inpatient notes available document the HD2 urine culture as "preliminary growth pending speciation," and no final organism identification or susceptibility report is recorded in the source documents. The clinical course (defervescence, WBC normalization, symptom resolution) is consistent with a treated, resolving urinary-source infection. The final urine culture speciation/sensitivities and the antibiotic stop date should be confirmed against the micro result and reflected in the prescription instructions before sign-out (see Discharge Medications and Pending Items).</w:t>
      </w:r>
    </w:p>
    <w:p>
      <w:pPr>
        <w:spacing w:after="120" w:before="0"/>
      </w:pPr>
      <w:r>
        <w:rPr>
          <w:rFonts w:ascii="Arial" w:hAnsi="Arial" w:cs="Arial"/>
          <w:b w:val="0"/>
          <w:i w:val="0"/>
          <w:sz w:val="19"/>
        </w:rPr>
        <w:t>AKI on CKD stage 3 (admission creatinine 2.62 mg/dL on an outpatient baseline of 1.6–1.8 mg/dL) was multifactorial — prerenal physiology from poor intake and infection predominating, with contribution from nephroactive cardiorenal agents during acute illness. Creatinine improved daily (2.62 → 2.38 → 2.12 → 1.98 → 1.86 → 1.80 mg/dL) and returned to the upper end of his baseline by HD6; potassium normalized (5.1 → 4.4 mmol/L). Nephrology (Dr. Solthar) considered the AKI resolved to baseline by laboratory criteria.</w:t>
      </w:r>
    </w:p>
    <w:p>
      <w:pPr>
        <w:spacing w:after="120" w:before="0"/>
      </w:pPr>
      <w:r>
        <w:rPr>
          <w:rFonts w:ascii="Arial" w:hAnsi="Arial" w:cs="Arial"/>
          <w:b w:val="0"/>
          <w:i w:val="0"/>
          <w:sz w:val="19"/>
        </w:rPr>
        <w:t>His HFrEF/CAD guideline-directed medical therapy and renally active diabetes agents (sacubitril/valsartan, spironolactone, furosemide, empagliflozin, metformin ER) were held on admission during the AKI and hemodynamic vulnerability. Cardiology (Dr. Caldrane) and Nephrology (Dr. Solthar) each followed throughout the stay. Both documented that restart should be staged and coordinated, and neither declared the patient ready for simultaneous restart at discharge; carvedilol was cautiously reintroduced inpatient (held HD1–HD2, resumed BID from HD4) and tolerated at systolic pressures in the 110–130 mmHg range. Aspirin and atorvastatin were continued throughout as CAD secondary prevention.</w:t>
      </w:r>
    </w:p>
    <w:p>
      <w:pPr>
        <w:spacing w:after="120" w:before="0"/>
      </w:pPr>
      <w:r>
        <w:rPr>
          <w:rFonts w:ascii="Arial" w:hAnsi="Arial" w:cs="Arial"/>
          <w:b w:val="0"/>
          <w:i w:val="0"/>
          <w:sz w:val="19"/>
        </w:rPr>
        <w:t>Endocrinology (Dr. Veylorn) followed the chronic steroid exposure. Adrenal insufficiency was not established, but cumulative steroid exposure was identified as a genuine risk substrate; interim non-abrupt inpatient steroid coverage was continued and the structured taper was deferred to outpatient rheumatology. Outpatient rheumatology provenance (Dr. Halvek) documents a cautious slow-taper intent with instruction to avoid abrupt discontinuation, without a fixed numeric dose; pharmacy fill history and verified medication reconciliation could not establish the exact pre-admission home dose. Diabetes was managed with home basal insulin glargine (titrated inpatient, returned to the home 18-unit nightly dose) plus correctional lispro per inpatient protocol.</w:t>
      </w:r>
    </w:p>
    <w:p>
      <w:pPr>
        <w:spacing w:after="120" w:before="0"/>
      </w:pPr>
      <w:r>
        <w:rPr>
          <w:rFonts w:ascii="Arial" w:hAnsi="Arial" w:cs="Arial"/>
          <w:b w:val="0"/>
          <w:i w:val="0"/>
          <w:sz w:val="19"/>
        </w:rPr>
        <w:t>Physical therapy, occupational therapy, and nursing documented function below baseline with a high fall risk (Morse Fall Scale 65) and reproducible medication-management errors under fatigue. By HD6 he was afebrile, ambulating short distances with supervision and a rolling walker, taking 75–90% of meals, and more conversational, though still slower on multi-step tasks. A family care conference (HD5, with a HD6 bedside follow-up) aligned the plan with his wife/healthcare proxy, Mara Merrow. He is discharged home on 05/24/2026 with home health services and the follow-up and supervision plan below.</w:t>
      </w:r>
    </w:p>
    <w:p>
      <w:pPr>
        <w:keepNext/>
        <w:spacing w:after="60" w:before="160"/>
      </w:pPr>
      <w:r>
        <w:rPr>
          <w:rFonts w:ascii="Arial" w:hAnsi="Arial" w:cs="Arial"/>
          <w:b/>
          <w:i w:val="0"/>
          <w:sz w:val="20"/>
        </w:rPr>
        <w:t>DISCHARGE DIAGNOSES</w:t>
      </w:r>
    </w:p>
    <w:p>
      <w:pPr>
        <w:spacing w:after="40" w:before="0"/>
      </w:pPr>
      <w:r>
        <w:rPr>
          <w:rFonts w:ascii="Arial" w:hAnsi="Arial" w:cs="Arial"/>
          <w:b/>
          <w:i w:val="0"/>
          <w:sz w:val="19"/>
        </w:rPr>
        <w:t>Acute / treated this admission</w:t>
      </w:r>
    </w:p>
    <w:p>
      <w:pPr>
        <w:spacing w:after="60" w:before="0"/>
        <w:ind w:left="432" w:hanging="346"/>
      </w:pPr>
      <w:r>
        <w:rPr>
          <w:rFonts w:ascii="Arial" w:hAnsi="Arial" w:cs="Arial"/>
          <w:b/>
          <w:i w:val="0"/>
          <w:sz w:val="19"/>
        </w:rPr>
        <w:t xml:space="preserve">1.  </w:t>
      </w:r>
      <w:r>
        <w:rPr>
          <w:rFonts w:ascii="Arial" w:hAnsi="Arial" w:cs="Arial"/>
          <w:b w:val="0"/>
          <w:i w:val="0"/>
          <w:sz w:val="19"/>
        </w:rPr>
        <w:t>Urinary-source infection / sepsis physiology (suspected urinary tract infection / urosepsis), treated and resolved.</w:t>
      </w:r>
    </w:p>
    <w:p>
      <w:pPr>
        <w:spacing w:after="60" w:before="0"/>
        <w:ind w:left="432" w:hanging="346"/>
      </w:pPr>
      <w:r>
        <w:rPr>
          <w:rFonts w:ascii="Arial" w:hAnsi="Arial" w:cs="Arial"/>
          <w:b/>
          <w:i w:val="0"/>
          <w:sz w:val="19"/>
        </w:rPr>
        <w:t xml:space="preserve">2.  </w:t>
      </w:r>
      <w:r>
        <w:rPr>
          <w:rFonts w:ascii="Arial" w:hAnsi="Arial" w:cs="Arial"/>
          <w:b w:val="0"/>
          <w:i w:val="0"/>
          <w:sz w:val="19"/>
        </w:rPr>
        <w:t>Acute kidney injury on chronic kidney disease stage 3, resolved to baseline by laboratory criteria.</w:t>
      </w:r>
    </w:p>
    <w:p>
      <w:pPr>
        <w:spacing w:after="60" w:before="0"/>
        <w:ind w:left="432" w:hanging="346"/>
      </w:pPr>
      <w:r>
        <w:rPr>
          <w:rFonts w:ascii="Arial" w:hAnsi="Arial" w:cs="Arial"/>
          <w:b/>
          <w:i w:val="0"/>
          <w:sz w:val="19"/>
        </w:rPr>
        <w:t xml:space="preserve">3.  </w:t>
      </w:r>
      <w:r>
        <w:rPr>
          <w:rFonts w:ascii="Arial" w:hAnsi="Arial" w:cs="Arial"/>
          <w:b w:val="0"/>
          <w:i w:val="0"/>
          <w:sz w:val="19"/>
        </w:rPr>
        <w:t>Functional decline / deconditioning with high fall risk; altered baseline mental status during illness, improved at discharge.</w:t>
      </w:r>
    </w:p>
    <w:p>
      <w:pPr>
        <w:spacing w:after="40" w:before="0"/>
      </w:pPr>
      <w:r>
        <w:rPr>
          <w:rFonts w:ascii="Arial" w:hAnsi="Arial" w:cs="Arial"/>
          <w:b/>
          <w:i w:val="0"/>
          <w:sz w:val="19"/>
        </w:rPr>
        <w:t>Chronic / active problems (managed, continued therapy with staged restart as noted)</w:t>
      </w:r>
    </w:p>
    <w:p>
      <w:pPr>
        <w:spacing w:after="60" w:before="0"/>
        <w:ind w:left="432" w:hanging="346"/>
      </w:pPr>
      <w:r>
        <w:rPr>
          <w:rFonts w:ascii="Arial" w:hAnsi="Arial" w:cs="Arial"/>
          <w:b/>
          <w:i w:val="0"/>
          <w:sz w:val="19"/>
        </w:rPr>
        <w:t xml:space="preserve">4.  </w:t>
      </w:r>
      <w:r>
        <w:rPr>
          <w:rFonts w:ascii="Arial" w:hAnsi="Arial" w:cs="Arial"/>
          <w:b w:val="0"/>
          <w:i w:val="0"/>
          <w:sz w:val="19"/>
        </w:rPr>
        <w:t>Heart failure with reduced ejection fraction (I50.22) — held GDMT with planned staged outpatient restart.</w:t>
      </w:r>
    </w:p>
    <w:p>
      <w:pPr>
        <w:spacing w:after="60" w:before="0"/>
        <w:ind w:left="432" w:hanging="346"/>
      </w:pPr>
      <w:r>
        <w:rPr>
          <w:rFonts w:ascii="Arial" w:hAnsi="Arial" w:cs="Arial"/>
          <w:b/>
          <w:i w:val="0"/>
          <w:sz w:val="19"/>
        </w:rPr>
        <w:t xml:space="preserve">5.  </w:t>
      </w:r>
      <w:r>
        <w:rPr>
          <w:rFonts w:ascii="Arial" w:hAnsi="Arial" w:cs="Arial"/>
          <w:b w:val="0"/>
          <w:i w:val="0"/>
          <w:sz w:val="19"/>
        </w:rPr>
        <w:t>Coronary artery disease, native vessel, status post remote PCI / drug-eluting stent, mid-LAD 2018 (I25.10) — aspirin and statin continued.</w:t>
      </w:r>
    </w:p>
    <w:p>
      <w:pPr>
        <w:spacing w:after="60" w:before="0"/>
        <w:ind w:left="432" w:hanging="346"/>
      </w:pPr>
      <w:r>
        <w:rPr>
          <w:rFonts w:ascii="Arial" w:hAnsi="Arial" w:cs="Arial"/>
          <w:b/>
          <w:i w:val="0"/>
          <w:sz w:val="19"/>
        </w:rPr>
        <w:t xml:space="preserve">6.  </w:t>
      </w:r>
      <w:r>
        <w:rPr>
          <w:rFonts w:ascii="Arial" w:hAnsi="Arial" w:cs="Arial"/>
          <w:b w:val="0"/>
          <w:i w:val="0"/>
          <w:sz w:val="19"/>
        </w:rPr>
        <w:t>Essential hypertension (I10).</w:t>
      </w:r>
    </w:p>
    <w:p>
      <w:pPr>
        <w:spacing w:after="60" w:before="0"/>
        <w:ind w:left="432" w:hanging="346"/>
      </w:pPr>
      <w:r>
        <w:rPr>
          <w:rFonts w:ascii="Arial" w:hAnsi="Arial" w:cs="Arial"/>
          <w:b/>
          <w:i w:val="0"/>
          <w:sz w:val="19"/>
        </w:rPr>
        <w:t xml:space="preserve">7.  </w:t>
      </w:r>
      <w:r>
        <w:rPr>
          <w:rFonts w:ascii="Arial" w:hAnsi="Arial" w:cs="Arial"/>
          <w:b w:val="0"/>
          <w:i w:val="0"/>
          <w:sz w:val="19"/>
        </w:rPr>
        <w:t>Mixed hyperlipidemia (E78.2).</w:t>
      </w:r>
    </w:p>
    <w:p>
      <w:pPr>
        <w:spacing w:after="60" w:before="0"/>
        <w:ind w:left="432" w:hanging="346"/>
      </w:pPr>
      <w:r>
        <w:rPr>
          <w:rFonts w:ascii="Arial" w:hAnsi="Arial" w:cs="Arial"/>
          <w:b/>
          <w:i w:val="0"/>
          <w:sz w:val="19"/>
        </w:rPr>
        <w:t xml:space="preserve">8.  </w:t>
      </w:r>
      <w:r>
        <w:rPr>
          <w:rFonts w:ascii="Arial" w:hAnsi="Arial" w:cs="Arial"/>
          <w:b w:val="0"/>
          <w:i w:val="0"/>
          <w:sz w:val="19"/>
        </w:rPr>
        <w:t>Chronic kidney disease, stage 3 (N18.30); baseline creatinine 1.6–1.8 mg/dL, eGFR 40–50 mL/min/1.73 m².</w:t>
      </w:r>
    </w:p>
    <w:p>
      <w:pPr>
        <w:spacing w:after="60" w:before="0"/>
        <w:ind w:left="432" w:hanging="346"/>
      </w:pPr>
      <w:r>
        <w:rPr>
          <w:rFonts w:ascii="Arial" w:hAnsi="Arial" w:cs="Arial"/>
          <w:b/>
          <w:i w:val="0"/>
          <w:sz w:val="19"/>
        </w:rPr>
        <w:t xml:space="preserve">9.  </w:t>
      </w:r>
      <w:r>
        <w:rPr>
          <w:rFonts w:ascii="Arial" w:hAnsi="Arial" w:cs="Arial"/>
          <w:b w:val="0"/>
          <w:i w:val="0"/>
          <w:sz w:val="19"/>
        </w:rPr>
        <w:t>Type 2 diabetes mellitus (E11.9); basal insulin continued, oral/SGLT2 agents held with outpatient review.</w:t>
      </w:r>
    </w:p>
    <w:p>
      <w:pPr>
        <w:spacing w:after="60" w:before="0"/>
        <w:ind w:left="432" w:hanging="346"/>
      </w:pPr>
      <w:r>
        <w:rPr>
          <w:rFonts w:ascii="Arial" w:hAnsi="Arial" w:cs="Arial"/>
          <w:b/>
          <w:i w:val="0"/>
          <w:sz w:val="19"/>
        </w:rPr>
        <w:t xml:space="preserve">10.  </w:t>
      </w:r>
      <w:r>
        <w:rPr>
          <w:rFonts w:ascii="Arial" w:hAnsi="Arial" w:cs="Arial"/>
          <w:b w:val="0"/>
          <w:i w:val="0"/>
          <w:sz w:val="19"/>
        </w:rPr>
        <w:t>Diabetic peripheral neuropathy (E11.42).</w:t>
      </w:r>
    </w:p>
    <w:p>
      <w:pPr>
        <w:spacing w:after="60" w:before="0"/>
        <w:ind w:left="432" w:hanging="346"/>
      </w:pPr>
      <w:r>
        <w:rPr>
          <w:rFonts w:ascii="Arial" w:hAnsi="Arial" w:cs="Arial"/>
          <w:b/>
          <w:i w:val="0"/>
          <w:sz w:val="19"/>
        </w:rPr>
        <w:t xml:space="preserve">11.  </w:t>
      </w:r>
      <w:r>
        <w:rPr>
          <w:rFonts w:ascii="Arial" w:hAnsi="Arial" w:cs="Arial"/>
          <w:b w:val="0"/>
          <w:i w:val="0"/>
          <w:sz w:val="19"/>
        </w:rPr>
        <w:t>Obstructive sleep apnea (G47.33); home CPAP, variable adherence.</w:t>
      </w:r>
    </w:p>
    <w:p>
      <w:pPr>
        <w:spacing w:after="60" w:before="0"/>
        <w:ind w:left="432" w:hanging="346"/>
      </w:pPr>
      <w:r>
        <w:rPr>
          <w:rFonts w:ascii="Arial" w:hAnsi="Arial" w:cs="Arial"/>
          <w:b/>
          <w:i w:val="0"/>
          <w:sz w:val="19"/>
        </w:rPr>
        <w:t xml:space="preserve">12.  </w:t>
      </w:r>
      <w:r>
        <w:rPr>
          <w:rFonts w:ascii="Arial" w:hAnsi="Arial" w:cs="Arial"/>
          <w:b w:val="0"/>
          <w:i w:val="0"/>
          <w:sz w:val="19"/>
        </w:rPr>
        <w:t>Polymyalgia rheumatica (M35.3) on chronic prednisone; taper to be finalized with outpatient rheumatology.</w:t>
      </w:r>
    </w:p>
    <w:p>
      <w:pPr>
        <w:spacing w:after="60" w:before="0"/>
        <w:ind w:left="432" w:hanging="346"/>
      </w:pPr>
      <w:r>
        <w:rPr>
          <w:rFonts w:ascii="Arial" w:hAnsi="Arial" w:cs="Arial"/>
          <w:b/>
          <w:i w:val="0"/>
          <w:sz w:val="19"/>
        </w:rPr>
        <w:t xml:space="preserve">13.  </w:t>
      </w:r>
      <w:r>
        <w:rPr>
          <w:rFonts w:ascii="Arial" w:hAnsi="Arial" w:cs="Arial"/>
          <w:b w:val="0"/>
          <w:i w:val="0"/>
          <w:sz w:val="19"/>
        </w:rPr>
        <w:t>Anemia of chronic kidney disease (D63.1).</w:t>
      </w:r>
    </w:p>
    <w:p>
      <w:pPr>
        <w:spacing w:after="60" w:before="0"/>
        <w:ind w:left="432" w:hanging="346"/>
      </w:pPr>
      <w:r>
        <w:rPr>
          <w:rFonts w:ascii="Arial" w:hAnsi="Arial" w:cs="Arial"/>
          <w:b/>
          <w:i w:val="0"/>
          <w:sz w:val="19"/>
        </w:rPr>
        <w:t xml:space="preserve">14.  </w:t>
      </w:r>
      <w:r>
        <w:rPr>
          <w:rFonts w:ascii="Arial" w:hAnsi="Arial" w:cs="Arial"/>
          <w:b w:val="0"/>
          <w:i w:val="0"/>
          <w:sz w:val="19"/>
        </w:rPr>
        <w:t>Osteoporosis / osteopenia associated with chronic steroid exposure (M81.0).</w:t>
      </w:r>
    </w:p>
    <w:p>
      <w:pPr>
        <w:spacing w:after="60" w:before="0"/>
        <w:ind w:left="432" w:hanging="346"/>
      </w:pPr>
      <w:r>
        <w:rPr>
          <w:rFonts w:ascii="Arial" w:hAnsi="Arial" w:cs="Arial"/>
          <w:b/>
          <w:i w:val="0"/>
          <w:sz w:val="19"/>
        </w:rPr>
        <w:t xml:space="preserve">15.  </w:t>
      </w:r>
      <w:r>
        <w:rPr>
          <w:rFonts w:ascii="Arial" w:hAnsi="Arial" w:cs="Arial"/>
          <w:b w:val="0"/>
          <w:i w:val="0"/>
          <w:sz w:val="19"/>
        </w:rPr>
        <w:t>Class I obesity (E66.9).</w:t>
      </w:r>
    </w:p>
    <w:p>
      <w:pPr>
        <w:spacing w:after="60" w:before="0"/>
        <w:ind w:left="432" w:hanging="346"/>
      </w:pPr>
      <w:r>
        <w:rPr>
          <w:rFonts w:ascii="Arial" w:hAnsi="Arial" w:cs="Arial"/>
          <w:b/>
          <w:i w:val="0"/>
          <w:sz w:val="19"/>
        </w:rPr>
        <w:t xml:space="preserve">16.  </w:t>
      </w:r>
      <w:r>
        <w:rPr>
          <w:rFonts w:ascii="Arial" w:hAnsi="Arial" w:cs="Arial"/>
          <w:b w:val="0"/>
          <w:i w:val="0"/>
          <w:sz w:val="19"/>
        </w:rPr>
        <w:t>Chronic gastroesophageal reflux disease (K21.9).</w:t>
      </w:r>
    </w:p>
    <w:p>
      <w:pPr>
        <w:spacing w:after="60" w:before="0"/>
        <w:ind w:left="432" w:hanging="346"/>
      </w:pPr>
      <w:r>
        <w:rPr>
          <w:rFonts w:ascii="Arial" w:hAnsi="Arial" w:cs="Arial"/>
          <w:b/>
          <w:i w:val="0"/>
          <w:sz w:val="19"/>
        </w:rPr>
        <w:t xml:space="preserve">17.  </w:t>
      </w:r>
      <w:r>
        <w:rPr>
          <w:rFonts w:ascii="Arial" w:hAnsi="Arial" w:cs="Arial"/>
          <w:b w:val="0"/>
          <w:i w:val="0"/>
          <w:sz w:val="19"/>
        </w:rPr>
        <w:t>Chronic constipation tendency (K59.00).</w:t>
      </w:r>
    </w:p>
    <w:p>
      <w:pPr>
        <w:keepNext/>
        <w:spacing w:after="60" w:before="160"/>
      </w:pPr>
      <w:r>
        <w:rPr>
          <w:rFonts w:ascii="Arial" w:hAnsi="Arial" w:cs="Arial"/>
          <w:b/>
          <w:i w:val="0"/>
          <w:sz w:val="20"/>
        </w:rPr>
        <w:t>CONDITION AT DISCHARGE</w:t>
      </w:r>
    </w:p>
    <w:p>
      <w:pPr>
        <w:spacing w:after="120" w:before="0"/>
      </w:pPr>
      <w:r>
        <w:rPr>
          <w:rFonts w:ascii="Arial" w:hAnsi="Arial" w:cs="Arial"/>
          <w:b w:val="0"/>
          <w:i w:val="0"/>
          <w:sz w:val="19"/>
        </w:rPr>
        <w:t>Stable and improved. Afebrile with normalized WBC; hemodynamically stable (systolic 114–130 mmHg on HD6); renal function at baseline (creatinine 1.80 mg/dL, potassium 4.4 mmol/L). Oral intake 75–90% of meals. Ambulating short distances with supervision and a rolling walker (Morse Fall Scale 65 — high fall risk); performs ADLs with supervision. Alert and oriented, conversational, with mild residual slowing on multi-step tasks that is improved from admission. Discharged home with home health services (Keystone HomeCare Services) and family supervision, with durable medical equipment and outpatient follow-up arranged as below.</w:t>
      </w:r>
    </w:p>
    <w:p>
      <w:pPr>
        <w:keepNext/>
        <w:spacing w:after="60" w:before="160"/>
      </w:pPr>
      <w:r>
        <w:rPr>
          <w:rFonts w:ascii="Arial" w:hAnsi="Arial" w:cs="Arial"/>
          <w:b/>
          <w:i w:val="0"/>
          <w:sz w:val="20"/>
        </w:rPr>
        <w:t>DISCHARGE MEDICATIONS</w:t>
      </w:r>
    </w:p>
    <w:p>
      <w:pPr>
        <w:spacing w:after="120" w:before="0"/>
      </w:pPr>
      <w:r>
        <w:rPr>
          <w:rFonts w:ascii="Arial" w:hAnsi="Arial" w:cs="Arial"/>
          <w:b w:val="0"/>
          <w:i/>
          <w:sz w:val="18"/>
        </w:rPr>
        <w:t>Reconciled against inpatient pharmacy reconciliation (E. Marlott, PharmD), the medication administration record through 05/23/2026, outpatient pharmacy fill history (Harbor Crest Community Pharmacy), and the cardiology, nephrology, endocrinology, and rheumatology recommendations. Home medications were verified for all agents except prednisone (see below). Cardiorenal GDMT and renally active diabetes agents are deliberately held at discharge with a planned, staged outpatient restart — they are not discontinued.</w:t>
      </w:r>
    </w:p>
    <w:p>
      <w:pPr>
        <w:spacing w:after="40" w:before="0"/>
      </w:pPr>
      <w:r>
        <w:rPr>
          <w:rFonts w:ascii="Arial" w:hAnsi="Arial" w:cs="Arial"/>
          <w:b/>
          <w:i w:val="0"/>
          <w:sz w:val="19"/>
        </w:rPr>
        <w:t>CONTINUE — resume / take as written</w:t>
      </w:r>
    </w:p>
    <w:p>
      <w:pPr>
        <w:spacing w:after="40" w:before="0"/>
        <w:ind w:left="432" w:hanging="259"/>
      </w:pPr>
      <w:r>
        <w:rPr>
          <w:rFonts w:ascii="Arial" w:hAnsi="Arial" w:cs="Arial"/>
          <w:b w:val="0"/>
          <w:i w:val="0"/>
          <w:sz w:val="19"/>
        </w:rPr>
        <w:t xml:space="preserve">•  </w:t>
      </w:r>
      <w:r>
        <w:rPr>
          <w:rFonts w:ascii="Arial" w:hAnsi="Arial" w:cs="Arial"/>
          <w:b/>
          <w:i w:val="0"/>
          <w:sz w:val="19"/>
        </w:rPr>
        <w:t>Aspirin 81 mg PO once daily</w:t>
      </w:r>
      <w:r>
        <w:rPr>
          <w:rFonts w:ascii="Arial" w:hAnsi="Arial" w:cs="Arial"/>
          <w:b w:val="0"/>
          <w:i w:val="0"/>
          <w:sz w:val="19"/>
        </w:rPr>
        <w:t xml:space="preserve"> — CAD secondary prevention (continued throughout admission).</w:t>
      </w:r>
    </w:p>
    <w:p>
      <w:pPr>
        <w:spacing w:after="40" w:before="0"/>
        <w:ind w:left="432" w:hanging="259"/>
      </w:pPr>
      <w:r>
        <w:rPr>
          <w:rFonts w:ascii="Arial" w:hAnsi="Arial" w:cs="Arial"/>
          <w:b w:val="0"/>
          <w:i w:val="0"/>
          <w:sz w:val="19"/>
        </w:rPr>
        <w:t xml:space="preserve">•  </w:t>
      </w:r>
      <w:r>
        <w:rPr>
          <w:rFonts w:ascii="Arial" w:hAnsi="Arial" w:cs="Arial"/>
          <w:b/>
          <w:i w:val="0"/>
          <w:sz w:val="19"/>
        </w:rPr>
        <w:t>Atorvastatin 40 mg PO nightly</w:t>
      </w:r>
      <w:r>
        <w:rPr>
          <w:rFonts w:ascii="Arial" w:hAnsi="Arial" w:cs="Arial"/>
          <w:b w:val="0"/>
          <w:i w:val="0"/>
          <w:sz w:val="19"/>
        </w:rPr>
        <w:t xml:space="preserve"> — CAD / hyperlipidemia (continued throughout admission).</w:t>
      </w:r>
    </w:p>
    <w:p>
      <w:pPr>
        <w:spacing w:after="40" w:before="0"/>
        <w:ind w:left="432" w:hanging="259"/>
      </w:pPr>
      <w:r>
        <w:rPr>
          <w:rFonts w:ascii="Arial" w:hAnsi="Arial" w:cs="Arial"/>
          <w:b w:val="0"/>
          <w:i w:val="0"/>
          <w:sz w:val="19"/>
        </w:rPr>
        <w:t xml:space="preserve">•  </w:t>
      </w:r>
      <w:r>
        <w:rPr>
          <w:rFonts w:ascii="Arial" w:hAnsi="Arial" w:cs="Arial"/>
          <w:b/>
          <w:i w:val="0"/>
          <w:sz w:val="19"/>
        </w:rPr>
        <w:t>Carvedilol 12.5 mg PO twice daily with food</w:t>
      </w:r>
      <w:r>
        <w:rPr>
          <w:rFonts w:ascii="Arial" w:hAnsi="Arial" w:cs="Arial"/>
          <w:b w:val="0"/>
          <w:i w:val="0"/>
          <w:sz w:val="19"/>
        </w:rPr>
        <w:t xml:space="preserve"> — HFrEF/CAD beta-blockade. Cautiously resumed inpatient and tolerated; continue at home and hold a dose for systolic BP &lt; 100 mmHg or symptomatic lightheadedness, then notify cardiology/PCP. Do not stop abruptly.</w:t>
      </w:r>
    </w:p>
    <w:p>
      <w:pPr>
        <w:spacing w:after="40" w:before="0"/>
        <w:ind w:left="432" w:hanging="259"/>
      </w:pPr>
      <w:r>
        <w:rPr>
          <w:rFonts w:ascii="Arial" w:hAnsi="Arial" w:cs="Arial"/>
          <w:b w:val="0"/>
          <w:i w:val="0"/>
          <w:sz w:val="19"/>
        </w:rPr>
        <w:t xml:space="preserve">•  </w:t>
      </w:r>
      <w:r>
        <w:rPr>
          <w:rFonts w:ascii="Arial" w:hAnsi="Arial" w:cs="Arial"/>
          <w:b/>
          <w:i w:val="0"/>
          <w:sz w:val="19"/>
        </w:rPr>
        <w:t>Insulin glargine 18 units subcutaneously nightly</w:t>
      </w:r>
      <w:r>
        <w:rPr>
          <w:rFonts w:ascii="Arial" w:hAnsi="Arial" w:cs="Arial"/>
          <w:b w:val="0"/>
          <w:i w:val="0"/>
          <w:sz w:val="19"/>
        </w:rPr>
        <w:t xml:space="preserve"> — basal insulin at the home dose (inpatient dose titrated during illness and returned to 18 units by discharge). Correctional insulin lispro was inpatient-only and is not continued at home.</w:t>
      </w:r>
    </w:p>
    <w:p>
      <w:pPr>
        <w:spacing w:after="40" w:before="0"/>
        <w:ind w:left="432" w:hanging="259"/>
      </w:pPr>
      <w:r>
        <w:rPr>
          <w:rFonts w:ascii="Arial" w:hAnsi="Arial" w:cs="Arial"/>
          <w:b w:val="0"/>
          <w:i w:val="0"/>
          <w:sz w:val="19"/>
        </w:rPr>
        <w:t xml:space="preserve">•  </w:t>
      </w:r>
      <w:r>
        <w:rPr>
          <w:rFonts w:ascii="Arial" w:hAnsi="Arial" w:cs="Arial"/>
          <w:b/>
          <w:i w:val="0"/>
          <w:sz w:val="19"/>
        </w:rPr>
        <w:t>Gabapentin 300 mg PO nightly</w:t>
      </w:r>
      <w:r>
        <w:rPr>
          <w:rFonts w:ascii="Arial" w:hAnsi="Arial" w:cs="Arial"/>
          <w:b w:val="0"/>
          <w:i w:val="0"/>
          <w:sz w:val="19"/>
        </w:rPr>
        <w:t xml:space="preserve"> — diabetic neuropathy. Reduced early in admission for sedation/fall-risk concern; mentation improved and the full 300 mg nightly dose was resumed. Monitor for daytime sedation given fall risk.</w:t>
      </w:r>
    </w:p>
    <w:p>
      <w:pPr>
        <w:spacing w:after="40" w:before="0"/>
        <w:ind w:left="432" w:hanging="259"/>
      </w:pPr>
      <w:r>
        <w:rPr>
          <w:rFonts w:ascii="Arial" w:hAnsi="Arial" w:cs="Arial"/>
          <w:b w:val="0"/>
          <w:i w:val="0"/>
          <w:sz w:val="19"/>
        </w:rPr>
        <w:t xml:space="preserve">•  </w:t>
      </w:r>
      <w:r>
        <w:rPr>
          <w:rFonts w:ascii="Arial" w:hAnsi="Arial" w:cs="Arial"/>
          <w:b/>
          <w:i w:val="0"/>
          <w:sz w:val="19"/>
        </w:rPr>
        <w:t>Pantoprazole 40 mg PO once daily before breakfast</w:t>
      </w:r>
      <w:r>
        <w:rPr>
          <w:rFonts w:ascii="Arial" w:hAnsi="Arial" w:cs="Arial"/>
          <w:b w:val="0"/>
          <w:i w:val="0"/>
          <w:sz w:val="19"/>
        </w:rPr>
        <w:t xml:space="preserve"> — GERD.</w:t>
      </w:r>
    </w:p>
    <w:p>
      <w:pPr>
        <w:spacing w:after="40" w:before="0"/>
        <w:ind w:left="432" w:hanging="259"/>
      </w:pPr>
      <w:r>
        <w:rPr>
          <w:rFonts w:ascii="Arial" w:hAnsi="Arial" w:cs="Arial"/>
          <w:b w:val="0"/>
          <w:i w:val="0"/>
          <w:sz w:val="19"/>
        </w:rPr>
        <w:t xml:space="preserve">•  </w:t>
      </w:r>
      <w:r>
        <w:rPr>
          <w:rFonts w:ascii="Arial" w:hAnsi="Arial" w:cs="Arial"/>
          <w:b/>
          <w:i w:val="0"/>
          <w:sz w:val="19"/>
        </w:rPr>
        <w:t>Ferrous sulfate 325 mg PO every other day with food</w:t>
      </w:r>
      <w:r>
        <w:rPr>
          <w:rFonts w:ascii="Arial" w:hAnsi="Arial" w:cs="Arial"/>
          <w:b w:val="0"/>
          <w:i w:val="0"/>
          <w:sz w:val="19"/>
        </w:rPr>
        <w:t xml:space="preserve"> — anemia of CKD.</w:t>
      </w:r>
    </w:p>
    <w:p>
      <w:pPr>
        <w:spacing w:after="40" w:before="0"/>
        <w:ind w:left="432" w:hanging="259"/>
      </w:pPr>
      <w:r>
        <w:rPr>
          <w:rFonts w:ascii="Arial" w:hAnsi="Arial" w:cs="Arial"/>
          <w:b w:val="0"/>
          <w:i w:val="0"/>
          <w:sz w:val="19"/>
        </w:rPr>
        <w:t xml:space="preserve">•  </w:t>
      </w:r>
      <w:r>
        <w:rPr>
          <w:rFonts w:ascii="Arial" w:hAnsi="Arial" w:cs="Arial"/>
          <w:b/>
          <w:i w:val="0"/>
          <w:sz w:val="19"/>
        </w:rPr>
        <w:t>Alendronate 70 mg PO once weekly (Sunday morning)</w:t>
      </w:r>
      <w:r>
        <w:rPr>
          <w:rFonts w:ascii="Arial" w:hAnsi="Arial" w:cs="Arial"/>
          <w:b w:val="0"/>
          <w:i w:val="0"/>
          <w:sz w:val="19"/>
        </w:rPr>
        <w:t xml:space="preserve"> — steroid-related bone health. Take on an empty stomach with water and remain upright 30 minutes.</w:t>
      </w:r>
    </w:p>
    <w:p>
      <w:pPr>
        <w:spacing w:after="40" w:before="0"/>
        <w:ind w:left="432" w:hanging="259"/>
      </w:pPr>
      <w:r>
        <w:rPr>
          <w:rFonts w:ascii="Arial" w:hAnsi="Arial" w:cs="Arial"/>
          <w:b w:val="0"/>
          <w:i w:val="0"/>
          <w:sz w:val="19"/>
        </w:rPr>
        <w:t xml:space="preserve">•  </w:t>
      </w:r>
      <w:r>
        <w:rPr>
          <w:rFonts w:ascii="Arial" w:hAnsi="Arial" w:cs="Arial"/>
          <w:b/>
          <w:i w:val="0"/>
          <w:sz w:val="19"/>
        </w:rPr>
        <w:t>Calcium carbonate 600 mg / vitamin D 400 IU PO twice daily</w:t>
      </w:r>
      <w:r>
        <w:rPr>
          <w:rFonts w:ascii="Arial" w:hAnsi="Arial" w:cs="Arial"/>
          <w:b w:val="0"/>
          <w:i w:val="0"/>
          <w:sz w:val="19"/>
        </w:rPr>
        <w:t xml:space="preserve"> — bone health.</w:t>
      </w:r>
    </w:p>
    <w:p>
      <w:pPr>
        <w:spacing w:after="40" w:before="0"/>
        <w:ind w:left="432" w:hanging="259"/>
      </w:pPr>
      <w:r>
        <w:rPr>
          <w:rFonts w:ascii="Arial" w:hAnsi="Arial" w:cs="Arial"/>
          <w:b w:val="0"/>
          <w:i w:val="0"/>
          <w:sz w:val="19"/>
        </w:rPr>
        <w:t xml:space="preserve">•  </w:t>
      </w:r>
      <w:r>
        <w:rPr>
          <w:rFonts w:ascii="Arial" w:hAnsi="Arial" w:cs="Arial"/>
          <w:b/>
          <w:i w:val="0"/>
          <w:sz w:val="19"/>
        </w:rPr>
        <w:t>Prednisone — continue the current daily PMR dose without interruption; do NOT stop abruptly and do NOT change the dose until rheumatology/endocrinology direct the taper.</w:t>
      </w:r>
      <w:r>
        <w:rPr>
          <w:rFonts w:ascii="Arial" w:hAnsi="Arial" w:cs="Arial"/>
          <w:b w:val="0"/>
          <w:i w:val="0"/>
          <w:sz w:val="19"/>
        </w:rPr>
        <w:t xml:space="preserve"> Endocrinology recommends continuing a non-abrupt course and having the structured taper finalized by Dr. Halvek (rheumatology) at follow-up; a new long-term dose should not be created from the inpatient record. The exact numeric home dose was never verified during admission and the inpatient MAR records "interim steroid coverage" without a numeric dose. </w:t>
      </w:r>
      <w:r>
        <w:rPr>
          <w:rFonts w:ascii="Arial" w:hAnsi="Arial" w:cs="Arial"/>
          <w:b/>
          <w:i w:val="0"/>
          <w:sz w:val="19"/>
        </w:rPr>
        <w:t>Prescriber to confirm the exact prednisone strength/dose at sign-out before the prescription is finalized</w:t>
      </w:r>
      <w:r>
        <w:rPr>
          <w:rFonts w:ascii="Arial" w:hAnsi="Arial" w:cs="Arial"/>
          <w:b w:val="0"/>
          <w:i w:val="0"/>
          <w:sz w:val="19"/>
        </w:rPr>
        <w:t xml:space="preserve"> — the most recent outpatient dispensing (05/06/2026) was prednisone 5 mg with taper-style directions. Family should bring the current bottle(s) to the rheumatology visit.</w:t>
      </w:r>
    </w:p>
    <w:p>
      <w:pPr>
        <w:spacing w:after="40" w:before="0"/>
      </w:pPr>
      <w:r>
        <w:rPr>
          <w:rFonts w:ascii="Arial" w:hAnsi="Arial" w:cs="Arial"/>
          <w:b/>
          <w:i w:val="0"/>
          <w:sz w:val="19"/>
        </w:rPr>
        <w:t>CONTINUE AS NEEDED (PRN) / non-prescription</w:t>
      </w:r>
    </w:p>
    <w:p>
      <w:pPr>
        <w:spacing w:after="40" w:before="0"/>
        <w:ind w:left="432" w:hanging="259"/>
      </w:pPr>
      <w:r>
        <w:rPr>
          <w:rFonts w:ascii="Arial" w:hAnsi="Arial" w:cs="Arial"/>
          <w:b w:val="0"/>
          <w:i w:val="0"/>
          <w:sz w:val="19"/>
        </w:rPr>
        <w:t xml:space="preserve">•  </w:t>
      </w:r>
      <w:r>
        <w:rPr>
          <w:rFonts w:ascii="Arial" w:hAnsi="Arial" w:cs="Arial"/>
          <w:b/>
          <w:i w:val="0"/>
          <w:sz w:val="19"/>
        </w:rPr>
        <w:t>Nitroglycerin 0.4 mg sublingual PRN chest pain</w:t>
      </w:r>
      <w:r>
        <w:rPr>
          <w:rFonts w:ascii="Arial" w:hAnsi="Arial" w:cs="Arial"/>
          <w:b w:val="0"/>
          <w:i w:val="0"/>
          <w:sz w:val="19"/>
        </w:rPr>
        <w:t xml:space="preserve"> — 1 tablet every 5 minutes as needed, maximum 3 doses; call 911 if pain persists.</w:t>
      </w:r>
    </w:p>
    <w:p>
      <w:pPr>
        <w:spacing w:after="40" w:before="0"/>
        <w:ind w:left="432" w:hanging="259"/>
      </w:pPr>
      <w:r>
        <w:rPr>
          <w:rFonts w:ascii="Arial" w:hAnsi="Arial" w:cs="Arial"/>
          <w:b w:val="0"/>
          <w:i w:val="0"/>
          <w:sz w:val="19"/>
        </w:rPr>
        <w:t xml:space="preserve">•  </w:t>
      </w:r>
      <w:r>
        <w:rPr>
          <w:rFonts w:ascii="Arial" w:hAnsi="Arial" w:cs="Arial"/>
          <w:b/>
          <w:i w:val="0"/>
          <w:sz w:val="19"/>
        </w:rPr>
        <w:t>Acetaminophen 650 mg PO every 6 hours PRN</w:t>
      </w:r>
      <w:r>
        <w:rPr>
          <w:rFonts w:ascii="Arial" w:hAnsi="Arial" w:cs="Arial"/>
          <w:b w:val="0"/>
          <w:i w:val="0"/>
          <w:sz w:val="19"/>
        </w:rPr>
        <w:t xml:space="preserve"> for pain (maximum 3 g/day). </w:t>
      </w:r>
      <w:r>
        <w:rPr>
          <w:rFonts w:ascii="Arial" w:hAnsi="Arial" w:cs="Arial"/>
          <w:b/>
          <w:i w:val="0"/>
          <w:sz w:val="19"/>
        </w:rPr>
        <w:t>Avoid NSAIDs (ibuprofen, naproxen, etc.) given CKD/HFrEF — per nephrology.</w:t>
      </w:r>
    </w:p>
    <w:p>
      <w:pPr>
        <w:spacing w:after="40" w:before="0"/>
        <w:ind w:left="432" w:hanging="259"/>
      </w:pPr>
      <w:r>
        <w:rPr>
          <w:rFonts w:ascii="Arial" w:hAnsi="Arial" w:cs="Arial"/>
          <w:b w:val="0"/>
          <w:i w:val="0"/>
          <w:sz w:val="19"/>
        </w:rPr>
        <w:t xml:space="preserve">•  </w:t>
      </w:r>
      <w:r>
        <w:rPr>
          <w:rFonts w:ascii="Arial" w:hAnsi="Arial" w:cs="Arial"/>
          <w:b/>
          <w:i w:val="0"/>
          <w:sz w:val="19"/>
        </w:rPr>
        <w:t>Polyethylene glycol 3350 17 g PO daily PRN</w:t>
      </w:r>
      <w:r>
        <w:rPr>
          <w:rFonts w:ascii="Arial" w:hAnsi="Arial" w:cs="Arial"/>
          <w:b w:val="0"/>
          <w:i w:val="0"/>
          <w:sz w:val="19"/>
        </w:rPr>
        <w:t xml:space="preserve"> and </w:t>
      </w:r>
      <w:r>
        <w:rPr>
          <w:rFonts w:ascii="Arial" w:hAnsi="Arial" w:cs="Arial"/>
          <w:b/>
          <w:i w:val="0"/>
          <w:sz w:val="19"/>
        </w:rPr>
        <w:t>senna 8.6 mg PO nightly PRN</w:t>
      </w:r>
      <w:r>
        <w:rPr>
          <w:rFonts w:ascii="Arial" w:hAnsi="Arial" w:cs="Arial"/>
          <w:b w:val="0"/>
          <w:i w:val="0"/>
          <w:sz w:val="19"/>
        </w:rPr>
        <w:t xml:space="preserve"> — constipation.</w:t>
      </w:r>
    </w:p>
    <w:p>
      <w:pPr>
        <w:spacing w:after="40" w:before="0"/>
        <w:ind w:left="432" w:hanging="259"/>
      </w:pPr>
      <w:r>
        <w:rPr>
          <w:rFonts w:ascii="Arial" w:hAnsi="Arial" w:cs="Arial"/>
          <w:b w:val="0"/>
          <w:i w:val="0"/>
          <w:sz w:val="19"/>
        </w:rPr>
        <w:t xml:space="preserve">•  </w:t>
      </w:r>
      <w:r>
        <w:rPr>
          <w:rFonts w:ascii="Arial" w:hAnsi="Arial" w:cs="Arial"/>
          <w:b/>
          <w:i w:val="0"/>
          <w:sz w:val="19"/>
        </w:rPr>
        <w:t>Resume home CPAP nightly for obstructive sleep apnea.</w:t>
      </w:r>
    </w:p>
    <w:p>
      <w:pPr>
        <w:spacing w:after="40" w:before="0"/>
      </w:pPr>
      <w:r>
        <w:rPr>
          <w:rFonts w:ascii="Arial" w:hAnsi="Arial" w:cs="Arial"/>
          <w:b/>
          <w:i w:val="0"/>
          <w:sz w:val="19"/>
        </w:rPr>
        <w:t>HELD AT DISCHARGE — do NOT resume until directed; staged restart to be coordinated by cardiology, nephrology, and PCP at the follow-up visits below</w:t>
      </w:r>
    </w:p>
    <w:p>
      <w:pPr>
        <w:spacing w:after="40" w:before="0"/>
        <w:ind w:left="432" w:hanging="259"/>
      </w:pPr>
      <w:r>
        <w:rPr>
          <w:rFonts w:ascii="Arial" w:hAnsi="Arial" w:cs="Arial"/>
          <w:b w:val="0"/>
          <w:i w:val="0"/>
          <w:sz w:val="19"/>
        </w:rPr>
        <w:t xml:space="preserve">•  </w:t>
      </w:r>
      <w:r>
        <w:rPr>
          <w:rFonts w:ascii="Arial" w:hAnsi="Arial" w:cs="Arial"/>
          <w:b/>
          <w:i w:val="0"/>
          <w:sz w:val="19"/>
        </w:rPr>
        <w:t>Sacubitril/valsartan 24/26 mg PO twice daily</w:t>
      </w:r>
      <w:r>
        <w:rPr>
          <w:rFonts w:ascii="Arial" w:hAnsi="Arial" w:cs="Arial"/>
          <w:b w:val="0"/>
          <w:i w:val="0"/>
          <w:sz w:val="19"/>
        </w:rPr>
        <w:t xml:space="preserve"> (HFrEF) — held for renal/hemodynamic recovery.</w:t>
      </w:r>
    </w:p>
    <w:p>
      <w:pPr>
        <w:spacing w:after="40" w:before="0"/>
        <w:ind w:left="432" w:hanging="259"/>
      </w:pPr>
      <w:r>
        <w:rPr>
          <w:rFonts w:ascii="Arial" w:hAnsi="Arial" w:cs="Arial"/>
          <w:b w:val="0"/>
          <w:i w:val="0"/>
          <w:sz w:val="19"/>
        </w:rPr>
        <w:t xml:space="preserve">•  </w:t>
      </w:r>
      <w:r>
        <w:rPr>
          <w:rFonts w:ascii="Arial" w:hAnsi="Arial" w:cs="Arial"/>
          <w:b/>
          <w:i w:val="0"/>
          <w:sz w:val="19"/>
        </w:rPr>
        <w:t>Spironolactone 25 mg PO once daily</w:t>
      </w:r>
      <w:r>
        <w:rPr>
          <w:rFonts w:ascii="Arial" w:hAnsi="Arial" w:cs="Arial"/>
          <w:b w:val="0"/>
          <w:i w:val="0"/>
          <w:sz w:val="19"/>
        </w:rPr>
        <w:t xml:space="preserve"> (HFrEF) — held; potassium-sensitive.</w:t>
      </w:r>
    </w:p>
    <w:p>
      <w:pPr>
        <w:spacing w:after="40" w:before="0"/>
        <w:ind w:left="432" w:hanging="259"/>
      </w:pPr>
      <w:r>
        <w:rPr>
          <w:rFonts w:ascii="Arial" w:hAnsi="Arial" w:cs="Arial"/>
          <w:b w:val="0"/>
          <w:i w:val="0"/>
          <w:sz w:val="19"/>
        </w:rPr>
        <w:t xml:space="preserve">•  </w:t>
      </w:r>
      <w:r>
        <w:rPr>
          <w:rFonts w:ascii="Arial" w:hAnsi="Arial" w:cs="Arial"/>
          <w:b/>
          <w:i w:val="0"/>
          <w:sz w:val="19"/>
        </w:rPr>
        <w:t>Furosemide 40 mg PO once daily</w:t>
      </w:r>
      <w:r>
        <w:rPr>
          <w:rFonts w:ascii="Arial" w:hAnsi="Arial" w:cs="Arial"/>
          <w:b w:val="0"/>
          <w:i w:val="0"/>
          <w:sz w:val="19"/>
        </w:rPr>
        <w:t xml:space="preserve"> (HFrEF diuretic) — held; restart per volume status.</w:t>
      </w:r>
    </w:p>
    <w:p>
      <w:pPr>
        <w:spacing w:after="40" w:before="0"/>
        <w:ind w:left="432" w:hanging="259"/>
      </w:pPr>
      <w:r>
        <w:rPr>
          <w:rFonts w:ascii="Arial" w:hAnsi="Arial" w:cs="Arial"/>
          <w:b w:val="0"/>
          <w:i w:val="0"/>
          <w:sz w:val="19"/>
        </w:rPr>
        <w:t xml:space="preserve">•  </w:t>
      </w:r>
      <w:r>
        <w:rPr>
          <w:rFonts w:ascii="Arial" w:hAnsi="Arial" w:cs="Arial"/>
          <w:b/>
          <w:i w:val="0"/>
          <w:sz w:val="19"/>
        </w:rPr>
        <w:t>Empagliflozin 10 mg PO once daily</w:t>
      </w:r>
      <w:r>
        <w:rPr>
          <w:rFonts w:ascii="Arial" w:hAnsi="Arial" w:cs="Arial"/>
          <w:b w:val="0"/>
          <w:i w:val="0"/>
          <w:sz w:val="19"/>
        </w:rPr>
        <w:t xml:space="preserve"> (HFrEF / type 2 diabetes, SGLT2 inhibitor) — held during acute illness.</w:t>
      </w:r>
    </w:p>
    <w:p>
      <w:pPr>
        <w:spacing w:after="40" w:before="0"/>
        <w:ind w:left="432" w:hanging="259"/>
      </w:pPr>
      <w:r>
        <w:rPr>
          <w:rFonts w:ascii="Arial" w:hAnsi="Arial" w:cs="Arial"/>
          <w:b w:val="0"/>
          <w:i w:val="0"/>
          <w:sz w:val="19"/>
        </w:rPr>
        <w:t xml:space="preserve">•  </w:t>
      </w:r>
      <w:r>
        <w:rPr>
          <w:rFonts w:ascii="Arial" w:hAnsi="Arial" w:cs="Arial"/>
          <w:b/>
          <w:i w:val="0"/>
          <w:sz w:val="19"/>
        </w:rPr>
        <w:t>Metformin ER 500 mg PO twice daily</w:t>
      </w:r>
      <w:r>
        <w:rPr>
          <w:rFonts w:ascii="Arial" w:hAnsi="Arial" w:cs="Arial"/>
          <w:b w:val="0"/>
          <w:i w:val="0"/>
          <w:sz w:val="19"/>
        </w:rPr>
        <w:t xml:space="preserve"> (type 2 diabetes) — held for AKI; restart per renal function.</w:t>
      </w:r>
    </w:p>
    <w:p>
      <w:pPr>
        <w:spacing w:after="120" w:before="0"/>
      </w:pPr>
      <w:r>
        <w:rPr>
          <w:rFonts w:ascii="Arial" w:hAnsi="Arial" w:cs="Arial"/>
          <w:b w:val="0"/>
          <w:i/>
          <w:sz w:val="18"/>
        </w:rPr>
        <w:t>These five agents were held every inpatient day and were not restarted by discharge. Neither cardiology nor nephrology declared simultaneous restart safe at discharge; restart is to be staged and gated on renal function, potassium, and blood-pressure/volume status, with early outpatient labs (see Follow-Up). The patient and family should be told clearly which of these to resume only after a clinician instructs them.</w:t>
      </w:r>
    </w:p>
    <w:p>
      <w:pPr>
        <w:spacing w:after="40" w:before="0"/>
      </w:pPr>
      <w:r>
        <w:rPr>
          <w:rFonts w:ascii="Arial" w:hAnsi="Arial" w:cs="Arial"/>
          <w:b/>
          <w:i w:val="0"/>
          <w:sz w:val="19"/>
        </w:rPr>
        <w:t>Inpatient-only (not continued at home)</w:t>
      </w:r>
    </w:p>
    <w:p>
      <w:pPr>
        <w:spacing w:after="40" w:before="0"/>
        <w:ind w:left="432" w:hanging="259"/>
      </w:pPr>
      <w:r>
        <w:rPr>
          <w:rFonts w:ascii="Arial" w:hAnsi="Arial" w:cs="Arial"/>
          <w:b w:val="0"/>
          <w:i w:val="0"/>
          <w:sz w:val="19"/>
        </w:rPr>
        <w:t xml:space="preserve">•  </w:t>
      </w:r>
      <w:r>
        <w:rPr>
          <w:rFonts w:ascii="Arial" w:hAnsi="Arial" w:cs="Arial"/>
          <w:b w:val="0"/>
          <w:i w:val="0"/>
          <w:sz w:val="19"/>
        </w:rPr>
        <w:t>Ceftriaxone IV / cefpodoxime PO</w:t>
      </w:r>
      <w:r>
        <w:rPr>
          <w:rFonts w:ascii="Arial" w:hAnsi="Arial" w:cs="Arial"/>
          <w:b w:val="0"/>
          <w:i w:val="0"/>
          <w:sz w:val="19"/>
        </w:rPr>
        <w:t xml:space="preserve"> — treatment course for the urinary-source infection; confirm whether the oral course is complete or requires a defined number of additional days at sign-out (see Pending Items).</w:t>
      </w:r>
    </w:p>
    <w:p>
      <w:pPr>
        <w:spacing w:after="40" w:before="0"/>
        <w:ind w:left="432" w:hanging="259"/>
      </w:pPr>
      <w:r>
        <w:rPr>
          <w:rFonts w:ascii="Arial" w:hAnsi="Arial" w:cs="Arial"/>
          <w:b w:val="0"/>
          <w:i w:val="0"/>
          <w:sz w:val="19"/>
        </w:rPr>
        <w:t xml:space="preserve">•  </w:t>
      </w:r>
      <w:r>
        <w:rPr>
          <w:rFonts w:ascii="Arial" w:hAnsi="Arial" w:cs="Arial"/>
          <w:b w:val="0"/>
          <w:i w:val="0"/>
          <w:sz w:val="19"/>
        </w:rPr>
        <w:t>Correctional insulin lispro (sliding scale) and IV fluids</w:t>
      </w:r>
      <w:r>
        <w:rPr>
          <w:rFonts w:ascii="Arial" w:hAnsi="Arial" w:cs="Arial"/>
          <w:b w:val="0"/>
          <w:i w:val="0"/>
          <w:sz w:val="19"/>
        </w:rPr>
        <w:t xml:space="preserve"> — inpatient protocols only.</w:t>
      </w:r>
    </w:p>
    <w:p>
      <w:pPr>
        <w:keepNext/>
        <w:spacing w:after="60" w:before="160"/>
      </w:pPr>
      <w:r>
        <w:rPr>
          <w:rFonts w:ascii="Arial" w:hAnsi="Arial" w:cs="Arial"/>
          <w:b/>
          <w:i w:val="0"/>
          <w:sz w:val="20"/>
        </w:rPr>
        <w:t>FOLLOW-UP APPOINTMENTS</w:t>
      </w:r>
    </w:p>
    <w:p>
      <w:pPr>
        <w:spacing w:after="40" w:before="0"/>
        <w:ind w:left="432" w:hanging="259"/>
      </w:pPr>
      <w:r>
        <w:rPr>
          <w:rFonts w:ascii="Arial" w:hAnsi="Arial" w:cs="Arial"/>
          <w:b w:val="0"/>
          <w:i w:val="0"/>
          <w:sz w:val="19"/>
        </w:rPr>
        <w:t xml:space="preserve">•  </w:t>
      </w:r>
      <w:r>
        <w:rPr>
          <w:rFonts w:ascii="Arial" w:hAnsi="Arial" w:cs="Arial"/>
          <w:b w:val="0"/>
          <w:i w:val="0"/>
          <w:sz w:val="19"/>
        </w:rPr>
        <w:t>Primary care — Talia Quenor, MD (Mercy Vale Primary Care, Harbor Crest Clinic, (412) 555-0410): within 7 days of discharge.</w:t>
      </w:r>
    </w:p>
    <w:p>
      <w:pPr>
        <w:spacing w:after="40" w:before="0"/>
        <w:ind w:left="432" w:hanging="259"/>
      </w:pPr>
      <w:r>
        <w:rPr>
          <w:rFonts w:ascii="Arial" w:hAnsi="Arial" w:cs="Arial"/>
          <w:b w:val="0"/>
          <w:i w:val="0"/>
          <w:sz w:val="19"/>
        </w:rPr>
        <w:t xml:space="preserve">•  </w:t>
      </w:r>
      <w:r>
        <w:rPr>
          <w:rFonts w:ascii="Arial" w:hAnsi="Arial" w:cs="Arial"/>
          <w:b w:val="0"/>
          <w:i w:val="0"/>
          <w:sz w:val="19"/>
        </w:rPr>
        <w:t>Cardiology — Maris Caldrane, MD (pager (412) 555-0311): within 2 weeks</w:t>
      </w:r>
      <w:r>
        <w:rPr>
          <w:rFonts w:ascii="Arial" w:hAnsi="Arial" w:cs="Arial"/>
          <w:b w:val="0"/>
          <w:i w:val="0"/>
          <w:sz w:val="19"/>
        </w:rPr>
        <w:t xml:space="preserve"> for GDMT restart titration, blood-pressure and orthostatic assessment, and reconciliation of the final ambulatory cardiac regimen.</w:t>
      </w:r>
    </w:p>
    <w:p>
      <w:pPr>
        <w:spacing w:after="40" w:before="0"/>
        <w:ind w:left="432" w:hanging="259"/>
      </w:pPr>
      <w:r>
        <w:rPr>
          <w:rFonts w:ascii="Arial" w:hAnsi="Arial" w:cs="Arial"/>
          <w:b w:val="0"/>
          <w:i w:val="0"/>
          <w:sz w:val="19"/>
        </w:rPr>
        <w:t xml:space="preserve">•  </w:t>
      </w:r>
      <w:r>
        <w:rPr>
          <w:rFonts w:ascii="Arial" w:hAnsi="Arial" w:cs="Arial"/>
          <w:b w:val="0"/>
          <w:i w:val="0"/>
          <w:sz w:val="19"/>
        </w:rPr>
        <w:t>Nephrology — Iven Solthar, MD: within 1–2 weeks</w:t>
      </w:r>
      <w:r>
        <w:rPr>
          <w:rFonts w:ascii="Arial" w:hAnsi="Arial" w:cs="Arial"/>
          <w:b w:val="0"/>
          <w:i w:val="0"/>
          <w:sz w:val="19"/>
        </w:rPr>
        <w:t xml:space="preserve"> (earlier if any cardiorenal agent is restarted) for renal/electrolyte monitoring and restart coordination with cardiology.</w:t>
      </w:r>
    </w:p>
    <w:p>
      <w:pPr>
        <w:spacing w:after="40" w:before="0"/>
        <w:ind w:left="432" w:hanging="259"/>
      </w:pPr>
      <w:r>
        <w:rPr>
          <w:rFonts w:ascii="Arial" w:hAnsi="Arial" w:cs="Arial"/>
          <w:b w:val="0"/>
          <w:i w:val="0"/>
          <w:sz w:val="19"/>
        </w:rPr>
        <w:t xml:space="preserve">•  </w:t>
      </w:r>
      <w:r>
        <w:rPr>
          <w:rFonts w:ascii="Arial" w:hAnsi="Arial" w:cs="Arial"/>
          <w:b w:val="0"/>
          <w:i w:val="0"/>
          <w:sz w:val="19"/>
        </w:rPr>
        <w:t>Endocrinology — Nerea Veylorn, MD: within 2–4 weeks</w:t>
      </w:r>
      <w:r>
        <w:rPr>
          <w:rFonts w:ascii="Arial" w:hAnsi="Arial" w:cs="Arial"/>
          <w:b w:val="0"/>
          <w:i w:val="0"/>
          <w:sz w:val="19"/>
        </w:rPr>
        <w:t xml:space="preserve"> for glycemic regimen review (A1c trend 7.6–8.2%) and coordination of the steroid plan with rheumatology.</w:t>
      </w:r>
    </w:p>
    <w:p>
      <w:pPr>
        <w:spacing w:after="40" w:before="0"/>
        <w:ind w:left="432" w:hanging="259"/>
      </w:pPr>
      <w:r>
        <w:rPr>
          <w:rFonts w:ascii="Arial" w:hAnsi="Arial" w:cs="Arial"/>
          <w:b w:val="0"/>
          <w:i w:val="0"/>
          <w:sz w:val="19"/>
        </w:rPr>
        <w:t xml:space="preserve">•  </w:t>
      </w:r>
      <w:r>
        <w:rPr>
          <w:rFonts w:ascii="Arial" w:hAnsi="Arial" w:cs="Arial"/>
          <w:b w:val="0"/>
          <w:i w:val="0"/>
          <w:sz w:val="19"/>
        </w:rPr>
        <w:t>Rheumatology — Soren Halvek, MD (Riverbend Rheumatology Associates, (412) 555-0520): within 2–4 weeks</w:t>
      </w:r>
      <w:r>
        <w:rPr>
          <w:rFonts w:ascii="Arial" w:hAnsi="Arial" w:cs="Arial"/>
          <w:b w:val="0"/>
          <w:i w:val="0"/>
          <w:sz w:val="19"/>
        </w:rPr>
        <w:t xml:space="preserve"> to finalize the prednisone taper and reconcile the current dose against the outpatient record. Bring current medication bottles.</w:t>
      </w:r>
    </w:p>
    <w:p>
      <w:pPr>
        <w:keepNext/>
        <w:spacing w:after="60" w:before="160"/>
      </w:pPr>
      <w:r>
        <w:rPr>
          <w:rFonts w:ascii="Arial" w:hAnsi="Arial" w:cs="Arial"/>
          <w:b/>
          <w:i w:val="0"/>
          <w:sz w:val="20"/>
        </w:rPr>
        <w:t>FOLLOW-UP LABS AND MEDICATION-RESTART COORDINATION</w:t>
      </w:r>
    </w:p>
    <w:p>
      <w:pPr>
        <w:spacing w:after="120" w:before="0"/>
      </w:pPr>
      <w:r>
        <w:rPr>
          <w:rFonts w:ascii="Arial" w:hAnsi="Arial" w:cs="Arial"/>
          <w:b w:val="0"/>
          <w:i w:val="0"/>
          <w:sz w:val="19"/>
        </w:rPr>
        <w:t>Obtain a basic metabolic panel (creatinine, potassium, electrolytes) early after discharge — within approximately 1 week, coordinated by the PCP — to confirm the renal trajectory holds at home and to guide the staged restart of the held cardiorenal/diabetes agents. Repeat renal and potassium checks before and after any restart. The restart of sacubitril/valsartan, spironolactone, furosemide, empagliflozin, and metformin is to be sequenced (not simultaneous) by cardiology and nephrology in coordination with the PCP, gated on creatinine, potassium, and blood-pressure/volume status. Outpatient laboratory: Mercy Vale Outpatient Laboratory – Harbor Crest, 215 Harbor Crest Way, Suite 110, (412) 555-0455.</w:t>
      </w:r>
    </w:p>
    <w:p>
      <w:pPr>
        <w:keepNext/>
        <w:spacing w:after="60" w:before="160"/>
      </w:pPr>
      <w:r>
        <w:rPr>
          <w:rFonts w:ascii="Arial" w:hAnsi="Arial" w:cs="Arial"/>
          <w:b/>
          <w:i w:val="0"/>
          <w:sz w:val="20"/>
        </w:rPr>
        <w:t>HOME SERVICES, EQUIPMENT, AND SUPERVISION</w:t>
      </w:r>
    </w:p>
    <w:p>
      <w:pPr>
        <w:spacing w:after="40" w:before="0"/>
        <w:ind w:left="432" w:hanging="259"/>
      </w:pPr>
      <w:r>
        <w:rPr>
          <w:rFonts w:ascii="Arial" w:hAnsi="Arial" w:cs="Arial"/>
          <w:b w:val="0"/>
          <w:i w:val="0"/>
          <w:sz w:val="19"/>
        </w:rPr>
        <w:t xml:space="preserve">•  </w:t>
      </w:r>
      <w:r>
        <w:rPr>
          <w:rFonts w:ascii="Arial" w:hAnsi="Arial" w:cs="Arial"/>
          <w:b/>
          <w:i w:val="0"/>
          <w:sz w:val="19"/>
        </w:rPr>
        <w:t>Home health nursing — Keystone HomeCare Services, (412) 555-0631</w:t>
      </w:r>
      <w:r>
        <w:rPr>
          <w:rFonts w:ascii="Arial" w:hAnsi="Arial" w:cs="Arial"/>
          <w:b w:val="0"/>
          <w:i w:val="0"/>
          <w:sz w:val="19"/>
        </w:rPr>
        <w:t>: early post-discharge medication review and monitoring, with reinforcement of the held-vs-continued medication plan and warning signs.</w:t>
      </w:r>
    </w:p>
    <w:p>
      <w:pPr>
        <w:spacing w:after="40" w:before="0"/>
        <w:ind w:left="432" w:hanging="259"/>
      </w:pPr>
      <w:r>
        <w:rPr>
          <w:rFonts w:ascii="Arial" w:hAnsi="Arial" w:cs="Arial"/>
          <w:b w:val="0"/>
          <w:i w:val="0"/>
          <w:sz w:val="19"/>
        </w:rPr>
        <w:t xml:space="preserve">•  </w:t>
      </w:r>
      <w:r>
        <w:rPr>
          <w:rFonts w:ascii="Arial" w:hAnsi="Arial" w:cs="Arial"/>
          <w:b/>
          <w:i w:val="0"/>
          <w:sz w:val="19"/>
        </w:rPr>
        <w:t>Therapy continuation</w:t>
      </w:r>
      <w:r>
        <w:rPr>
          <w:rFonts w:ascii="Arial" w:hAnsi="Arial" w:cs="Arial"/>
          <w:b w:val="0"/>
          <w:i w:val="0"/>
          <w:sz w:val="19"/>
        </w:rPr>
        <w:t xml:space="preserve"> — home or outpatient PT/OT for endurance, gait/transfer safety, and IADL/medication-management retraining.</w:t>
      </w:r>
    </w:p>
    <w:p>
      <w:pPr>
        <w:spacing w:after="40" w:before="0"/>
        <w:ind w:left="432" w:hanging="259"/>
      </w:pPr>
      <w:r>
        <w:rPr>
          <w:rFonts w:ascii="Arial" w:hAnsi="Arial" w:cs="Arial"/>
          <w:b w:val="0"/>
          <w:i w:val="0"/>
          <w:sz w:val="19"/>
        </w:rPr>
        <w:t xml:space="preserve">•  </w:t>
      </w:r>
      <w:r>
        <w:rPr>
          <w:rFonts w:ascii="Arial" w:hAnsi="Arial" w:cs="Arial"/>
          <w:b/>
          <w:i w:val="0"/>
          <w:sz w:val="19"/>
        </w:rPr>
        <w:t>Durable medical equipment</w:t>
      </w:r>
      <w:r>
        <w:rPr>
          <w:rFonts w:ascii="Arial" w:hAnsi="Arial" w:cs="Arial"/>
          <w:b w:val="0"/>
          <w:i w:val="0"/>
          <w:sz w:val="19"/>
        </w:rPr>
        <w:t xml:space="preserve"> — rolling walker for the early post-discharge period (a cane alone is insufficient given endurance and orthostatic vulnerability), bedside commode, and bathroom grab bars. Remove loose rugs from walking paths.</w:t>
      </w:r>
    </w:p>
    <w:p>
      <w:pPr>
        <w:spacing w:after="40" w:before="0"/>
        <w:ind w:left="432" w:hanging="259"/>
      </w:pPr>
      <w:r>
        <w:rPr>
          <w:rFonts w:ascii="Arial" w:hAnsi="Arial" w:cs="Arial"/>
          <w:b w:val="0"/>
          <w:i w:val="0"/>
          <w:sz w:val="19"/>
        </w:rPr>
        <w:t xml:space="preserve">•  </w:t>
      </w:r>
      <w:r>
        <w:rPr>
          <w:rFonts w:ascii="Arial" w:hAnsi="Arial" w:cs="Arial"/>
          <w:b/>
          <w:i w:val="0"/>
          <w:sz w:val="19"/>
        </w:rPr>
        <w:t>Supervision</w:t>
      </w:r>
      <w:r>
        <w:rPr>
          <w:rFonts w:ascii="Arial" w:hAnsi="Arial" w:cs="Arial"/>
          <w:b w:val="0"/>
          <w:i w:val="0"/>
          <w:sz w:val="19"/>
        </w:rPr>
        <w:t xml:space="preserve"> — supervised mobility for the first 5–7 days; a pre-filled weekly pill organizer with family verification (medication filling should not be the patient’s sole responsibility during this interval); and a daily family check-in at medication times confirming doses were actually taken. Wife Mara Merrow is primary caregiver; daughter Lenora Merrow-Halsey covers weekend daytime and transportation.</w:t>
      </w:r>
    </w:p>
    <w:p>
      <w:pPr>
        <w:spacing w:after="40" w:before="0"/>
        <w:ind w:left="432" w:hanging="259"/>
      </w:pPr>
      <w:r>
        <w:rPr>
          <w:rFonts w:ascii="Arial" w:hAnsi="Arial" w:cs="Arial"/>
          <w:b w:val="0"/>
          <w:i w:val="0"/>
          <w:sz w:val="19"/>
        </w:rPr>
        <w:t xml:space="preserve">•  </w:t>
      </w:r>
      <w:r>
        <w:rPr>
          <w:rFonts w:ascii="Arial" w:hAnsi="Arial" w:cs="Arial"/>
          <w:b/>
          <w:i w:val="0"/>
          <w:sz w:val="19"/>
        </w:rPr>
        <w:t>Pharmacy (discharge fills)</w:t>
      </w:r>
      <w:r>
        <w:rPr>
          <w:rFonts w:ascii="Arial" w:hAnsi="Arial" w:cs="Arial"/>
          <w:b w:val="0"/>
          <w:i w:val="0"/>
          <w:sz w:val="19"/>
        </w:rPr>
        <w:t xml:space="preserve"> — Harbor Crest Community Pharmacy, 318 Mill Ridge Road, Bridgehollow, PA 15213, (412) 555-0490.</w:t>
      </w:r>
    </w:p>
    <w:p>
      <w:pPr>
        <w:spacing w:after="40" w:before="0"/>
        <w:ind w:left="432" w:hanging="259"/>
      </w:pPr>
      <w:r>
        <w:rPr>
          <w:rFonts w:ascii="Arial" w:hAnsi="Arial" w:cs="Arial"/>
          <w:b w:val="0"/>
          <w:i w:val="0"/>
          <w:sz w:val="19"/>
        </w:rPr>
        <w:t xml:space="preserve">•  </w:t>
      </w:r>
      <w:r>
        <w:rPr>
          <w:rFonts w:ascii="Arial" w:hAnsi="Arial" w:cs="Arial"/>
          <w:b/>
          <w:i w:val="0"/>
          <w:sz w:val="19"/>
        </w:rPr>
        <w:t>Transportation</w:t>
      </w:r>
      <w:r>
        <w:rPr>
          <w:rFonts w:ascii="Arial" w:hAnsi="Arial" w:cs="Arial"/>
          <w:b w:val="0"/>
          <w:i w:val="0"/>
          <w:sz w:val="19"/>
        </w:rPr>
        <w:t xml:space="preserve"> — family vehicle with Keystone Senior Supplement Plan G non-emergency medical transport / community senior van as backup; family to coordinate for follow-up visits.</w:t>
      </w:r>
    </w:p>
    <w:p>
      <w:pPr>
        <w:keepNext/>
        <w:spacing w:after="60" w:before="160"/>
      </w:pPr>
      <w:r>
        <w:rPr>
          <w:rFonts w:ascii="Arial" w:hAnsi="Arial" w:cs="Arial"/>
          <w:b/>
          <w:i w:val="0"/>
          <w:sz w:val="20"/>
        </w:rPr>
        <w:t>PATIENT AND FAMILY EDUCATION (TEACH-BACK COMPLETED WITH FAMILY)</w:t>
      </w:r>
    </w:p>
    <w:p>
      <w:pPr>
        <w:spacing w:after="120" w:before="0"/>
      </w:pPr>
      <w:r>
        <w:rPr>
          <w:rFonts w:ascii="Arial" w:hAnsi="Arial" w:cs="Arial"/>
          <w:b w:val="0"/>
          <w:i w:val="0"/>
          <w:sz w:val="19"/>
        </w:rPr>
        <w:t>The following points — which directly answer the questions Mrs. Merrow asked to have resolved before discharge — were reviewed with the patient and family using teach-back:</w:t>
      </w:r>
    </w:p>
    <w:p>
      <w:pPr>
        <w:spacing w:after="60" w:before="0"/>
        <w:ind w:left="432" w:hanging="346"/>
      </w:pPr>
      <w:r>
        <w:rPr>
          <w:rFonts w:ascii="Arial" w:hAnsi="Arial" w:cs="Arial"/>
          <w:b/>
          <w:i w:val="0"/>
          <w:sz w:val="19"/>
        </w:rPr>
        <w:t xml:space="preserve">1.  </w:t>
      </w:r>
      <w:r>
        <w:rPr>
          <w:rFonts w:ascii="Arial" w:hAnsi="Arial" w:cs="Arial"/>
          <w:b/>
          <w:i w:val="0"/>
          <w:sz w:val="19"/>
        </w:rPr>
        <w:t>Final medication review</w:t>
      </w:r>
      <w:r>
        <w:rPr>
          <w:rFonts w:ascii="Arial" w:hAnsi="Arial" w:cs="Arial"/>
          <w:b w:val="0"/>
          <w:i w:val="0"/>
          <w:sz w:val="19"/>
        </w:rPr>
        <w:t xml:space="preserve"> was performed with the family present; the home list and written instructions were reconciled so they match before discharge.</w:t>
      </w:r>
    </w:p>
    <w:p>
      <w:pPr>
        <w:spacing w:after="60" w:before="0"/>
        <w:ind w:left="432" w:hanging="346"/>
      </w:pPr>
      <w:r>
        <w:rPr>
          <w:rFonts w:ascii="Arial" w:hAnsi="Arial" w:cs="Arial"/>
          <w:b/>
          <w:i w:val="0"/>
          <w:sz w:val="19"/>
        </w:rPr>
        <w:t xml:space="preserve">2.  </w:t>
      </w:r>
      <w:r>
        <w:rPr>
          <w:rFonts w:ascii="Arial" w:hAnsi="Arial" w:cs="Arial"/>
          <w:b/>
          <w:i w:val="0"/>
          <w:sz w:val="19"/>
        </w:rPr>
        <w:t>Heart and kidney medications were explained together</w:t>
      </w:r>
      <w:r>
        <w:rPr>
          <w:rFonts w:ascii="Arial" w:hAnsi="Arial" w:cs="Arial"/>
          <w:b w:val="0"/>
          <w:i w:val="0"/>
          <w:sz w:val="19"/>
        </w:rPr>
        <w:t>: carvedilol is continued; sacubitril/valsartan, spironolactone, furosemide, empagliflozin, and metformin are held for now and will be restarted only when cardiology/nephrology/PCP direct, based on follow-up labs.</w:t>
      </w:r>
    </w:p>
    <w:p>
      <w:pPr>
        <w:spacing w:after="60" w:before="0"/>
        <w:ind w:left="432" w:hanging="346"/>
      </w:pPr>
      <w:r>
        <w:rPr>
          <w:rFonts w:ascii="Arial" w:hAnsi="Arial" w:cs="Arial"/>
          <w:b/>
          <w:i w:val="0"/>
          <w:sz w:val="19"/>
        </w:rPr>
        <w:t xml:space="preserve">3.  </w:t>
      </w:r>
      <w:r>
        <w:rPr>
          <w:rFonts w:ascii="Arial" w:hAnsi="Arial" w:cs="Arial"/>
          <w:b/>
          <w:i w:val="0"/>
          <w:sz w:val="19"/>
        </w:rPr>
        <w:t>Prednisone</w:t>
      </w:r>
      <w:r>
        <w:rPr>
          <w:rFonts w:ascii="Arial" w:hAnsi="Arial" w:cs="Arial"/>
          <w:b w:val="0"/>
          <w:i w:val="0"/>
          <w:sz w:val="19"/>
        </w:rPr>
        <w:t>: continue the current daily dose, do not stop abruptly, and do not change the dose until rheumatology/endocrinology advise; the taper will be set at the rheumatology visit. If he develops a febrile illness, persistent vomiting, or significant dehydration, call his physicians for stress-dose guidance rather than stopping the steroid.</w:t>
      </w:r>
    </w:p>
    <w:p>
      <w:pPr>
        <w:spacing w:after="60" w:before="0"/>
        <w:ind w:left="432" w:hanging="346"/>
      </w:pPr>
      <w:r>
        <w:rPr>
          <w:rFonts w:ascii="Arial" w:hAnsi="Arial" w:cs="Arial"/>
          <w:b/>
          <w:i w:val="0"/>
          <w:sz w:val="19"/>
        </w:rPr>
        <w:t xml:space="preserve">4.  </w:t>
      </w:r>
      <w:r>
        <w:rPr>
          <w:rFonts w:ascii="Arial" w:hAnsi="Arial" w:cs="Arial"/>
          <w:b/>
          <w:i w:val="0"/>
          <w:sz w:val="19"/>
        </w:rPr>
        <w:t>Supervision expectations</w:t>
      </w:r>
      <w:r>
        <w:rPr>
          <w:rFonts w:ascii="Arial" w:hAnsi="Arial" w:cs="Arial"/>
          <w:b w:val="0"/>
          <w:i w:val="0"/>
          <w:sz w:val="19"/>
        </w:rPr>
        <w:t xml:space="preserve"> for the first days at home (medication times, ambulation, and overnight) were specified, with the rolling walker and pill-organizer plan above.</w:t>
      </w:r>
    </w:p>
    <w:p>
      <w:pPr>
        <w:spacing w:after="60" w:before="0"/>
        <w:ind w:left="432" w:hanging="346"/>
      </w:pPr>
      <w:r>
        <w:rPr>
          <w:rFonts w:ascii="Arial" w:hAnsi="Arial" w:cs="Arial"/>
          <w:b/>
          <w:i w:val="0"/>
          <w:sz w:val="19"/>
        </w:rPr>
        <w:t xml:space="preserve">5.  </w:t>
      </w:r>
      <w:r>
        <w:rPr>
          <w:rFonts w:ascii="Arial" w:hAnsi="Arial" w:cs="Arial"/>
          <w:b/>
          <w:i w:val="0"/>
          <w:sz w:val="19"/>
        </w:rPr>
        <w:t>Warning signs and who to call</w:t>
      </w:r>
      <w:r>
        <w:rPr>
          <w:rFonts w:ascii="Arial" w:hAnsi="Arial" w:cs="Arial"/>
          <w:b w:val="0"/>
          <w:i w:val="0"/>
          <w:sz w:val="19"/>
        </w:rPr>
        <w:t xml:space="preserve"> were reviewed (see Return Precautions).</w:t>
      </w:r>
    </w:p>
    <w:p>
      <w:pPr>
        <w:keepNext/>
        <w:spacing w:after="60" w:before="160"/>
      </w:pPr>
      <w:r>
        <w:rPr>
          <w:rFonts w:ascii="Arial" w:hAnsi="Arial" w:cs="Arial"/>
          <w:b/>
          <w:i w:val="0"/>
          <w:sz w:val="20"/>
        </w:rPr>
        <w:t>RETURN PRECAUTIONS</w:t>
      </w:r>
    </w:p>
    <w:p>
      <w:pPr>
        <w:spacing w:after="120" w:before="0"/>
      </w:pPr>
      <w:r>
        <w:rPr>
          <w:rFonts w:ascii="Arial" w:hAnsi="Arial" w:cs="Arial"/>
          <w:b w:val="0"/>
          <w:i w:val="0"/>
          <w:sz w:val="19"/>
        </w:rPr>
        <w:t>Return to the Emergency Department or call (412) 555-0150 for: fever, worsening weakness, recurrent lightheadedness or a near-fall, chest pain, shortness of breath, reduced oral intake, or any new confusion. Given his HFrEF and prior LAD stent, also seek urgent care for signs of heart-failure decompensation (weight gain, worsening leg swelling, orthopnea, or exertional breathlessness) or angina-equivalent symptoms. For a febrile illness, persistent vomiting, or dehydration, contact his physicians promptly for steroid stress-dosing guidance and do not self-discontinue prednisone. Routine medication/taper questions may also go to the PCP (Dr. Quenor), rheumatology (Dr. Halvek, (412) 555-0520), or home health nursing.</w:t>
      </w:r>
    </w:p>
    <w:p>
      <w:pPr>
        <w:keepNext/>
        <w:spacing w:after="60" w:before="160"/>
      </w:pPr>
      <w:r>
        <w:rPr>
          <w:rFonts w:ascii="Arial" w:hAnsi="Arial" w:cs="Arial"/>
          <w:b/>
          <w:i w:val="0"/>
          <w:sz w:val="20"/>
        </w:rPr>
        <w:t>PENDING ITEMS / TO CONFIRM AT SIGN-OUT</w:t>
      </w:r>
    </w:p>
    <w:p>
      <w:pPr>
        <w:spacing w:after="40" w:before="0"/>
        <w:ind w:left="432" w:hanging="259"/>
      </w:pPr>
      <w:r>
        <w:rPr>
          <w:rFonts w:ascii="Arial" w:hAnsi="Arial" w:cs="Arial"/>
          <w:b w:val="0"/>
          <w:i w:val="0"/>
          <w:sz w:val="19"/>
        </w:rPr>
        <w:t xml:space="preserve">•  </w:t>
      </w:r>
      <w:r>
        <w:rPr>
          <w:rFonts w:ascii="Arial" w:hAnsi="Arial" w:cs="Arial"/>
          <w:b/>
          <w:i w:val="0"/>
          <w:sz w:val="19"/>
        </w:rPr>
        <w:t>Urine culture result</w:t>
      </w:r>
      <w:r>
        <w:rPr>
          <w:rFonts w:ascii="Arial" w:hAnsi="Arial" w:cs="Arial"/>
          <w:b w:val="0"/>
          <w:i w:val="0"/>
          <w:sz w:val="19"/>
        </w:rPr>
        <w:t>: confirm final organism speciation and susceptibilities; the available inpatient notes record only "preliminary growth pending speciation." Reconcile the narrative with the micro result.</w:t>
      </w:r>
    </w:p>
    <w:p>
      <w:pPr>
        <w:spacing w:after="40" w:before="0"/>
        <w:ind w:left="432" w:hanging="259"/>
      </w:pPr>
      <w:r>
        <w:rPr>
          <w:rFonts w:ascii="Arial" w:hAnsi="Arial" w:cs="Arial"/>
          <w:b w:val="0"/>
          <w:i w:val="0"/>
          <w:sz w:val="19"/>
        </w:rPr>
        <w:t xml:space="preserve">•  </w:t>
      </w:r>
      <w:r>
        <w:rPr>
          <w:rFonts w:ascii="Arial" w:hAnsi="Arial" w:cs="Arial"/>
          <w:b/>
          <w:i w:val="0"/>
          <w:sz w:val="19"/>
        </w:rPr>
        <w:t>Antibiotic completion</w:t>
      </w:r>
      <w:r>
        <w:rPr>
          <w:rFonts w:ascii="Arial" w:hAnsi="Arial" w:cs="Arial"/>
          <w:b w:val="0"/>
          <w:i w:val="0"/>
          <w:sz w:val="19"/>
        </w:rPr>
        <w:t>: confirm whether the oral cefpodoxime course is complete on 05/24 or requires a defined number of additional outpatient days (the HD6 MAR notes "completion vs continuation to be reconciled at discharge"); write the prescription accordingly.</w:t>
      </w:r>
    </w:p>
    <w:p>
      <w:pPr>
        <w:spacing w:after="40" w:before="0"/>
        <w:ind w:left="432" w:hanging="259"/>
      </w:pPr>
      <w:r>
        <w:rPr>
          <w:rFonts w:ascii="Arial" w:hAnsi="Arial" w:cs="Arial"/>
          <w:b w:val="0"/>
          <w:i w:val="0"/>
          <w:sz w:val="19"/>
        </w:rPr>
        <w:t xml:space="preserve">•  </w:t>
      </w:r>
      <w:r>
        <w:rPr>
          <w:rFonts w:ascii="Arial" w:hAnsi="Arial" w:cs="Arial"/>
          <w:b/>
          <w:i w:val="0"/>
          <w:sz w:val="19"/>
        </w:rPr>
        <w:t>Prednisone dose</w:t>
      </w:r>
      <w:r>
        <w:rPr>
          <w:rFonts w:ascii="Arial" w:hAnsi="Arial" w:cs="Arial"/>
          <w:b w:val="0"/>
          <w:i w:val="0"/>
          <w:sz w:val="19"/>
        </w:rPr>
        <w:t>: confirm and document the exact current prednisone strength/dose on the discharge prescription (most recent dispensing 05/06/2026 = prednisone 5 mg, taper-style directions); taper to be finalized by rheumatology.</w:t>
      </w:r>
    </w:p>
    <w:p>
      <w:pPr>
        <w:spacing w:after="40" w:before="0"/>
      </w:pPr>
      <w:r>
        <w:rPr>
          <w:rFonts w:ascii="Arial" w:hAnsi="Arial" w:cs="Arial"/>
          <w:b w:val="0"/>
          <w:i w:val="0"/>
          <w:sz w:val="18"/>
        </w:rPr>
        <w:t>__________________________________________</w:t>
      </w:r>
    </w:p>
    <w:p>
      <w:pPr>
        <w:spacing w:after="20" w:before="0"/>
      </w:pPr>
      <w:r>
        <w:rPr>
          <w:rFonts w:ascii="Arial" w:hAnsi="Arial" w:cs="Arial"/>
          <w:b/>
          <w:i w:val="0"/>
          <w:sz w:val="18"/>
        </w:rPr>
        <w:t>Elian Vossmere, MD — Hospitalist Attending, Hospital Medicine  |  NPI 1528374960</w:t>
      </w:r>
    </w:p>
    <w:p>
      <w:pPr>
        <w:spacing w:after="20" w:before="0"/>
      </w:pPr>
      <w:r>
        <w:rPr>
          <w:rFonts w:ascii="Arial" w:hAnsi="Arial" w:cs="Arial"/>
          <w:b w:val="0"/>
          <w:i/>
          <w:sz w:val="18"/>
        </w:rPr>
        <w:t>Co-author: Ines Travyn, MD (PGY-2), Hospital Medicine</w:t>
      </w:r>
    </w:p>
    <w:p>
      <w:pPr>
        <w:spacing w:after="20" w:before="0"/>
      </w:pPr>
      <w:r>
        <w:rPr>
          <w:rFonts w:ascii="Arial" w:hAnsi="Arial" w:cs="Arial"/>
          <w:b w:val="0"/>
          <w:i/>
          <w:sz w:val="18"/>
        </w:rPr>
        <w:t>Mercy Vale Regional Medical Center  |  Discharge date 05/24/2026  |  Status: Final — complete and sign at discharge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Summary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