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E.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Summary</w:t>
            </w:r>
          </w:p>
        </w:tc>
      </w:tr>
    </w:tbl>
    <w:p>
      <w:pPr>
        <w:spacing w:after="40" w:before="0"/>
      </w:pPr>
      <w:r>
        <w:rPr>
          <w:rFonts w:ascii="Arial" w:hAnsi="Arial" w:cs="Arial"/>
          <w:b/>
          <w:i w:val="0"/>
          <w:sz w:val="28"/>
        </w:rPr>
        <w:t>DISCHARGE SUMMARY</w:t>
      </w:r>
    </w:p>
    <w:p>
      <w:pPr>
        <w:spacing w:after="120" w:before="0"/>
      </w:pPr>
      <w:r>
        <w:rPr>
          <w:rFonts w:ascii="Arial" w:hAnsi="Arial" w:cs="Arial"/>
          <w:b w:val="0"/>
          <w:i w:val="0"/>
          <w:sz w:val="16"/>
        </w:rPr>
        <w:t>Author: Elian Vossmere, MD  |  Department: Hospital Medicine  |  Date of Discharge: 05/24/2026  |  Status: Final</w:t>
      </w:r>
    </w:p>
    <w:p>
      <w:pPr>
        <w:spacing w:after="60" w:before="180"/>
      </w:pPr>
      <w:r>
        <w:rPr>
          <w:rFonts w:ascii="Arial" w:hAnsi="Arial" w:cs="Arial"/>
          <w:b/>
          <w:i w:val="0"/>
          <w:sz w:val="20"/>
        </w:rPr>
        <w:t>REASON FOR ADMISSION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19"/>
        </w:rPr>
        <w:t>62-year-old man with HFrEF, CAD status post remote PCI/stent (single-vessel mid-LAD drug-eluting stent, 2018), CKD stage 3, type 2 diabetes mellitus, and polymyalgia rheumatica (PMR) on chronic prednisone with an uncertain home taper, admitted 05/18/2026 after approximately three weeks of decline (progressive weakness, poor oral intake, lightheadedness with a near-fall at home on 05/17/2026, and family-noted intermittent evening confusion). He presented with a suspected urinary-source infection and sepsis physiology superimposed on a mixed cardiorenal background.</w:t>
      </w:r>
    </w:p>
    <w:p>
      <w:pPr>
        <w:spacing w:after="60" w:before="180"/>
      </w:pPr>
      <w:r>
        <w:rPr>
          <w:rFonts w:ascii="Arial" w:hAnsi="Arial" w:cs="Arial"/>
          <w:b/>
          <w:i w:val="0"/>
          <w:sz w:val="20"/>
        </w:rPr>
        <w:t>HOSPITAL COURSE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19"/>
        </w:rPr>
        <w:t>Mr. Merrow was admitted to Hospital Medicine and started on empiric ceftriaxone with cautious isotonic fluid resuscitation given his HFrEF and CKD. Admission urinalysis showed pyuria, bacteriuria, and positive leukocyte esterase; urine culture grew Escherichia coli sensitive to ceftriaxone. Antibiotics were narrowed to oral cefpodoxime 200 mg twice daily on HD4, and he completed a full treatment course with defervescence, normalization of the white blood cell count (15.6 down to 9.4 k/uL), and clinical resolution of the infection; no antibiotics are continued at discharge.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19"/>
        </w:rPr>
        <w:t>His acute kidney injury on CKD stage 3 (creatinine 2.62 mg/dL on admission) resolved by laboratory criteria to the upper end of his outpatient baseline (1.6-1.8 mg/dL), with creatinine 1.80 mg/dL and potassium 4.4 mmol/L on HD6. Renal- and hemodynamic-sensitive cardiorenal medications (sacubitril/valsartan, spironolactone, furosemide, and empagliflozin) and metformin were held during the AKI; carvedilol was held early for low-normal blood pressure and then cautiously resumed twice daily from HD4 as pressures recovered (systolic 112-130 mmHg). Cardiology (Dr. Caldrane) and Nephrology (Dr. Solthar) followed throughout and jointly recommended a staged, parameter-driven outpatient restart rather than simultaneous reintroduction at discharge; no held agent was restarted in hospital and no inpatient restart order was written.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19"/>
        </w:rPr>
        <w:t>Diabetes was managed with home insulin glargine (adjusted during acute illness and returned to the home 18-unit nightly dose by HD6) plus inpatient correctional lispro, with metformin and empagliflozin held. Endocrinology (Dr. Veylorn) assessed the chronic steroid exposure: no numeric outpatient prednisone dose could be verified from any source, adrenal insufficiency was not established, and an interim non-abrupt inpatient steroid course was continued while outpatient rheumatology provenance (Dr. Halvek) was reviewed. The prednisone taper is to be finalized with rheumatology after the acute illness; no new long-term dose was invented from the inpatient record. Physical therapy, occupational therapy, and nursing documented function below the patient's baseline with a high fall risk (Morse Fall Scale 65) and reproducible medication-management errors under fatigue, which shaped the home-supervision and follow-up plan below. A family care conference (05/22/2026) with his wife and healthcare proxy, Mara Merrow, addressed medication changes, supervision needs, and follow-up logistics.</w:t>
      </w:r>
    </w:p>
    <w:p>
      <w:pPr>
        <w:spacing w:after="60" w:before="180"/>
      </w:pPr>
      <w:r>
        <w:rPr>
          <w:rFonts w:ascii="Arial" w:hAnsi="Arial" w:cs="Arial"/>
          <w:b/>
          <w:i w:val="0"/>
          <w:sz w:val="20"/>
        </w:rPr>
        <w:t>DISCHARGE DIAGNOSES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1. </w:t>
      </w:r>
      <w:r>
        <w:rPr>
          <w:rFonts w:ascii="Arial" w:hAnsi="Arial" w:cs="Arial"/>
          <w:b w:val="0"/>
          <w:i w:val="0"/>
          <w:sz w:val="19"/>
        </w:rPr>
        <w:t>Urinary tract infection / urosepsis due to Escherichia coli, resolved after a completed antibiotic course.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2. </w:t>
      </w:r>
      <w:r>
        <w:rPr>
          <w:rFonts w:ascii="Arial" w:hAnsi="Arial" w:cs="Arial"/>
          <w:b w:val="0"/>
          <w:i w:val="0"/>
          <w:sz w:val="19"/>
        </w:rPr>
        <w:t>Acute kidney injury on chronic kidney disease stage 3, resolved to baseline by laboratory criteria.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3. </w:t>
      </w:r>
      <w:r>
        <w:rPr>
          <w:rFonts w:ascii="Arial" w:hAnsi="Arial" w:cs="Arial"/>
          <w:b w:val="0"/>
          <w:i w:val="0"/>
          <w:sz w:val="19"/>
        </w:rPr>
        <w:t>Heart failure with reduced ejection fraction (HFrEF) - chronic; guideline-directed therapy partially held with a planned staged outpatient restart.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4. </w:t>
      </w:r>
      <w:r>
        <w:rPr>
          <w:rFonts w:ascii="Arial" w:hAnsi="Arial" w:cs="Arial"/>
          <w:b w:val="0"/>
          <w:i w:val="0"/>
          <w:sz w:val="19"/>
        </w:rPr>
        <w:t>Coronary artery disease status post remote single-vessel mid-LAD drug-eluting stent (2018); on aspirin and high-intensity statin (dual antiplatelet therapy completed remotely).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5. </w:t>
      </w:r>
      <w:r>
        <w:rPr>
          <w:rFonts w:ascii="Arial" w:hAnsi="Arial" w:cs="Arial"/>
          <w:b w:val="0"/>
          <w:i w:val="0"/>
          <w:sz w:val="19"/>
        </w:rPr>
        <w:t>Chronic kidney disease, stage 3.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6. </w:t>
      </w:r>
      <w:r>
        <w:rPr>
          <w:rFonts w:ascii="Arial" w:hAnsi="Arial" w:cs="Arial"/>
          <w:b w:val="0"/>
          <w:i w:val="0"/>
          <w:sz w:val="19"/>
        </w:rPr>
        <w:t>Type 2 diabetes mellitus with diabetic peripheral neuropathy; regimen adjusted during admission.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7. </w:t>
      </w:r>
      <w:r>
        <w:rPr>
          <w:rFonts w:ascii="Arial" w:hAnsi="Arial" w:cs="Arial"/>
          <w:b w:val="0"/>
          <w:i w:val="0"/>
          <w:sz w:val="19"/>
        </w:rPr>
        <w:t>Polymyalgia rheumatica on chronic prednisone - taper to be reconciled with outpatient rheumatology (no verified home dose; adrenal insufficiency not established).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8. </w:t>
      </w:r>
      <w:r>
        <w:rPr>
          <w:rFonts w:ascii="Arial" w:hAnsi="Arial" w:cs="Arial"/>
          <w:b w:val="0"/>
          <w:i w:val="0"/>
          <w:sz w:val="19"/>
        </w:rPr>
        <w:t>Functional decline / deconditioning with high fall risk (Morse Fall Scale 65).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9. </w:t>
      </w:r>
      <w:r>
        <w:rPr>
          <w:rFonts w:ascii="Arial" w:hAnsi="Arial" w:cs="Arial"/>
          <w:b w:val="0"/>
          <w:i w:val="0"/>
          <w:sz w:val="19"/>
        </w:rPr>
        <w:t>Multifactorial altered mental status during admission (infection, dehydration, medication effects), improving toward baseline.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10. </w:t>
      </w:r>
      <w:r>
        <w:rPr>
          <w:rFonts w:ascii="Arial" w:hAnsi="Arial" w:cs="Arial"/>
          <w:b w:val="0"/>
          <w:i w:val="0"/>
          <w:sz w:val="19"/>
        </w:rPr>
        <w:t>Essential hypertension.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11. </w:t>
      </w:r>
      <w:r>
        <w:rPr>
          <w:rFonts w:ascii="Arial" w:hAnsi="Arial" w:cs="Arial"/>
          <w:b w:val="0"/>
          <w:i w:val="0"/>
          <w:sz w:val="19"/>
        </w:rPr>
        <w:t>Mixed hyperlipidemia.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12. </w:t>
      </w:r>
      <w:r>
        <w:rPr>
          <w:rFonts w:ascii="Arial" w:hAnsi="Arial" w:cs="Arial"/>
          <w:b w:val="0"/>
          <w:i w:val="0"/>
          <w:sz w:val="19"/>
        </w:rPr>
        <w:t>Anemia of chronic kidney disease.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13. </w:t>
      </w:r>
      <w:r>
        <w:rPr>
          <w:rFonts w:ascii="Arial" w:hAnsi="Arial" w:cs="Arial"/>
          <w:b w:val="0"/>
          <w:i w:val="0"/>
          <w:sz w:val="19"/>
        </w:rPr>
        <w:t>Obstructive sleep apnea (home CPAP, adherence variable).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14. </w:t>
      </w:r>
      <w:r>
        <w:rPr>
          <w:rFonts w:ascii="Arial" w:hAnsi="Arial" w:cs="Arial"/>
          <w:b w:val="0"/>
          <w:i w:val="0"/>
          <w:sz w:val="19"/>
        </w:rPr>
        <w:t>Chronic steroid-associated osteoporosis/osteopenia.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15. </w:t>
      </w:r>
      <w:r>
        <w:rPr>
          <w:rFonts w:ascii="Arial" w:hAnsi="Arial" w:cs="Arial"/>
          <w:b w:val="0"/>
          <w:i w:val="0"/>
          <w:sz w:val="19"/>
        </w:rPr>
        <w:t>Class I obesity.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16. </w:t>
      </w:r>
      <w:r>
        <w:rPr>
          <w:rFonts w:ascii="Arial" w:hAnsi="Arial" w:cs="Arial"/>
          <w:b w:val="0"/>
          <w:i w:val="0"/>
          <w:sz w:val="19"/>
        </w:rPr>
        <w:t>Chronic gastroesophageal reflux disease.</w:t>
      </w:r>
    </w:p>
    <w:p>
      <w:pPr>
        <w:spacing w:after="60" w:before="0"/>
        <w:ind w:left="288"/>
      </w:pPr>
      <w:r>
        <w:rPr>
          <w:rFonts w:ascii="Arial" w:hAnsi="Arial" w:cs="Arial"/>
          <w:b/>
          <w:i w:val="0"/>
          <w:sz w:val="19"/>
        </w:rPr>
        <w:t xml:space="preserve">17. </w:t>
      </w:r>
      <w:r>
        <w:rPr>
          <w:rFonts w:ascii="Arial" w:hAnsi="Arial" w:cs="Arial"/>
          <w:b w:val="0"/>
          <w:i w:val="0"/>
          <w:sz w:val="19"/>
        </w:rPr>
        <w:t>Chronic constipation tendency.</w:t>
      </w:r>
    </w:p>
    <w:p>
      <w:pPr>
        <w:spacing w:after="60" w:before="180"/>
      </w:pPr>
      <w:r>
        <w:rPr>
          <w:rFonts w:ascii="Arial" w:hAnsi="Arial" w:cs="Arial"/>
          <w:b/>
          <w:i w:val="0"/>
          <w:sz w:val="20"/>
        </w:rPr>
        <w:t>CONDITION AT DISCHARGE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19"/>
        </w:rPr>
        <w:t>Stable and afebrile. Hemodynamics at the low-normal baseline for this patient (systolic 114-130 mmHg); renal function at baseline (creatinine 1.80 mg/dL, potassium 4.4 mmol/L); oral intake improved (75-90% of meals). Ambulating with supervision using a rolling walker; alert and oriented with mild residual slowing on multi-step tasks. Discharged home with his wife/primary caregiver and home health services coordinated through Case Management and Social Work (candidate agency Keystone HomeCare Services).</w:t>
      </w:r>
    </w:p>
    <w:p>
      <w:pPr>
        <w:spacing w:after="60" w:before="180"/>
      </w:pPr>
      <w:r>
        <w:rPr>
          <w:rFonts w:ascii="Arial" w:hAnsi="Arial" w:cs="Arial"/>
          <w:b/>
          <w:i w:val="0"/>
          <w:sz w:val="20"/>
        </w:rPr>
        <w:t>DISCHARGE MEDICATIONS</w:t>
      </w:r>
    </w:p>
    <w:p>
      <w:pPr>
        <w:spacing w:after="100" w:before="0"/>
      </w:pPr>
      <w:r>
        <w:rPr>
          <w:rFonts w:ascii="Arial" w:hAnsi="Arial" w:cs="Arial"/>
          <w:b w:val="0"/>
          <w:i w:val="0"/>
          <w:sz w:val="19"/>
        </w:rPr>
        <w:t>Reconciled with the verified admission medication reconciliation (E. Marlott, PharmD), the medication administration record through 05/23/2026, pharmacy refill history (Harbor Crest Community Pharmacy), and consultant input. The final list and first-fill timing should be confirmed with pharmacy at discharge, and every item taught back to the patient and Mrs. Merrow before departure.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>CONTINUE (unchanged from home regimen):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Aspirin 81 mg by mouth once daily (CAD secondary prevention).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Atorvastatin 40 mg by mouth nightly.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Carvedilol 12.5 mg by mouth twice daily with food - only cardiac agent currently active; continue and reassess blood pressure and heart rate at follow-up.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Insulin glargine 18 units subcutaneously at bedtime (home dose; titrated back to 18 units in hospital).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Gabapentin 300 mg by mouth nightly (diabetic neuropathy) - monitor for sedation/fall risk.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Pantoprazole 40 mg by mouth once daily (GERD).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Ferrous sulfate 325 mg by mouth every other day (anemia of CKD).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Calcium carbonate 600 mg / vitamin D 400 IU by mouth twice daily.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Alendronate 70 mg by mouth once weekly, Sunday morning (resume home schedule).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Nitroglycerin 0.4 mg sublingual as needed for chest pain (rescue); call 911 if pain persists after 3 doses.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Acetaminophen 650 mg by mouth every 6 hours as needed.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Polyethylene glycol 3350 17 g by mouth daily as needed, and senna 8.6 mg by mouth nightly as needed (bowel regimen).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>HELD at discharge - DO NOT resume until specifically restarted by Cardiology/Nephrology at follow-up: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Sacubitril/valsartan 24/26 mg twice daily - held for renal/hemodynamic recovery.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Spironolactone 25 mg daily - held (AKI / potassium).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Furosemide 40 mg daily - held (volume status/intake); reassess need at follow-up.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Empagliflozin 10 mg daily - held (acute illness/renal recovery).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Metformin ER 500 mg twice daily - held (AKI); reassess renal function before resuming.</w:t>
      </w:r>
    </w:p>
    <w:p>
      <w:pPr>
        <w:spacing w:after="100" w:before="0"/>
      </w:pPr>
      <w:r>
        <w:rPr>
          <w:rFonts w:ascii="Arial" w:hAnsi="Arial" w:cs="Arial"/>
          <w:b w:val="0"/>
          <w:i w:val="0"/>
          <w:sz w:val="19"/>
        </w:rPr>
        <w:t>These five agents were held throughout the hospitalization and NO inpatient restart order was written. Cardiology and Nephrology recommend a staged, parameter-driven restart (guided by creatinine/eGFR, potassium, blood pressure/orthostatics, and volume status), not simultaneous reintroduction. The outpatient team should sequence and titrate these at the cardiology and nephrology visits with interval labs; they should not be restarted by the patient or family on their own.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>PREDNISONE (polymyalgia rheumatica):</w:t>
      </w:r>
    </w:p>
    <w:p>
      <w:pPr>
        <w:spacing w:after="100" w:before="0"/>
      </w:pPr>
      <w:r>
        <w:rPr>
          <w:rFonts w:ascii="Arial" w:hAnsi="Arial" w:cs="Arial"/>
          <w:b w:val="0"/>
          <w:i w:val="0"/>
          <w:sz w:val="19"/>
        </w:rPr>
        <w:t>Continue the patient's established home prednisone for PMR; do NOT stop it abruptly. No verified numeric home dose exists from any inpatient source - the outpatient rheumatology record states no dose, and pharmacy fills transitioned from 10 mg to 5 mg with changing taper-style directions across recent fills (most recent fill 05/06/2026, prednisone 5 mg, taper-style instructions). The verified medication reconciliation and the dispensing pharmacy's current e-prescription/fill record are the operative sources for the exact dose to dispense; these should be confirmed directly at discharge. The definitive taper is to be set by rheumatology (Dr. Halvek) in coordination with endocrinology (Dr. Veylorn) at the outpatient visits; no new long-term dose is being asserted from the inpatient record. Stress-dose/sick-day guidance was reviewed with the patient and family (see below).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>INPATIENT-ONLY therapies - NOT continued at home:</w:t>
      </w:r>
    </w:p>
    <w:p>
      <w:pPr>
        <w:spacing w:after="100" w:before="0"/>
      </w:pPr>
      <w:r>
        <w:rPr>
          <w:rFonts w:ascii="Arial" w:hAnsi="Arial" w:cs="Arial"/>
          <w:b w:val="0"/>
          <w:i w:val="0"/>
          <w:sz w:val="19"/>
        </w:rPr>
        <w:t>Ceftriaxone/cefpodoxime (antibiotic course completed), insulin lispro correctional sliding scale, and intravenous fluids.</w:t>
      </w:r>
    </w:p>
    <w:p>
      <w:pPr>
        <w:spacing w:after="60" w:before="180"/>
      </w:pPr>
      <w:r>
        <w:rPr>
          <w:rFonts w:ascii="Arial" w:hAnsi="Arial" w:cs="Arial"/>
          <w:b/>
          <w:i w:val="0"/>
          <w:sz w:val="20"/>
        </w:rPr>
        <w:t>FOLLOW-UP</w:t>
      </w:r>
    </w:p>
    <w:p>
      <w:pPr>
        <w:spacing w:after="60" w:before="0"/>
      </w:pPr>
      <w:r>
        <w:rPr>
          <w:rFonts w:ascii="Arial" w:hAnsi="Arial" w:cs="Arial"/>
          <w:b w:val="0"/>
          <w:i w:val="0"/>
          <w:sz w:val="19"/>
        </w:rPr>
        <w:t>Appointments and contact information (coordinated by Case Management; transportation arranged with family/daughter and supplemental non-emergency medical transport as needed):</w:t>
      </w:r>
    </w:p>
    <w:p>
      <w:pPr>
        <w:spacing w:after="6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/>
          <w:i w:val="0"/>
          <w:sz w:val="19"/>
        </w:rPr>
        <w:t xml:space="preserve">Primary care - Talia Quenor, MD (Harbor Crest Clinic, (412) 555-0410): </w:t>
      </w:r>
      <w:r>
        <w:rPr>
          <w:rFonts w:ascii="Arial" w:hAnsi="Arial" w:cs="Arial"/>
          <w:b/>
          <w:i w:val="0"/>
          <w:sz w:val="19"/>
        </w:rPr>
        <w:t xml:space="preserve">within 7 days of discharge. </w:t>
      </w:r>
      <w:r>
        <w:rPr>
          <w:rFonts w:ascii="Arial" w:hAnsi="Arial" w:cs="Arial"/>
          <w:b w:val="0"/>
          <w:i w:val="0"/>
          <w:sz w:val="19"/>
        </w:rPr>
        <w:t>Overall transition oversight, review of held vs. continued medications, and glycemic regimen review.</w:t>
      </w:r>
    </w:p>
    <w:p>
      <w:pPr>
        <w:spacing w:after="6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/>
          <w:i w:val="0"/>
          <w:sz w:val="19"/>
        </w:rPr>
        <w:t xml:space="preserve">Nephrology - Iven Solthar, MD: </w:t>
      </w:r>
      <w:r>
        <w:rPr>
          <w:rFonts w:ascii="Arial" w:hAnsi="Arial" w:cs="Arial"/>
          <w:b/>
          <w:i w:val="0"/>
          <w:sz w:val="19"/>
        </w:rPr>
        <w:t xml:space="preserve">within 1-2 weeks. </w:t>
      </w:r>
      <w:r>
        <w:rPr>
          <w:rFonts w:ascii="Arial" w:hAnsi="Arial" w:cs="Arial"/>
          <w:b w:val="0"/>
          <w:i w:val="0"/>
          <w:sz w:val="19"/>
        </w:rPr>
        <w:t>Recheck renal function/potassium and guide staged cardiorenal restart sequencing.</w:t>
      </w:r>
    </w:p>
    <w:p>
      <w:pPr>
        <w:spacing w:after="6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/>
          <w:i w:val="0"/>
          <w:sz w:val="19"/>
        </w:rPr>
        <w:t xml:space="preserve">Cardiology - Maris Caldrane, MD (pager (412) 555-0311): </w:t>
      </w:r>
      <w:r>
        <w:rPr>
          <w:rFonts w:ascii="Arial" w:hAnsi="Arial" w:cs="Arial"/>
          <w:b/>
          <w:i w:val="0"/>
          <w:sz w:val="19"/>
        </w:rPr>
        <w:t xml:space="preserve">within 2 weeks. </w:t>
      </w:r>
      <w:r>
        <w:rPr>
          <w:rFonts w:ascii="Arial" w:hAnsi="Arial" w:cs="Arial"/>
          <w:b w:val="0"/>
          <w:i w:val="0"/>
          <w:sz w:val="19"/>
        </w:rPr>
        <w:t>HFrEF/CAD restart titration, blood pressure and orthostatic assessment, and reconciliation of the final ambulatory regimen.</w:t>
      </w:r>
    </w:p>
    <w:p>
      <w:pPr>
        <w:spacing w:after="6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/>
          <w:i w:val="0"/>
          <w:sz w:val="19"/>
        </w:rPr>
        <w:t xml:space="preserve">Endocrinology - Nerea Veylorn, MD: </w:t>
      </w:r>
      <w:r>
        <w:rPr>
          <w:rFonts w:ascii="Arial" w:hAnsi="Arial" w:cs="Arial"/>
          <w:b/>
          <w:i w:val="0"/>
          <w:sz w:val="19"/>
        </w:rPr>
        <w:t xml:space="preserve">within 2-4 weeks. </w:t>
      </w:r>
      <w:r>
        <w:rPr>
          <w:rFonts w:ascii="Arial" w:hAnsi="Arial" w:cs="Arial"/>
          <w:b w:val="0"/>
          <w:i w:val="0"/>
          <w:sz w:val="19"/>
        </w:rPr>
        <w:t>Coordinate the prednisone taper with rheumatology and review the diabetes regimen (metformin/empagliflozin resumption, A1c trend 7.6-8.2%).</w:t>
      </w:r>
    </w:p>
    <w:p>
      <w:pPr>
        <w:spacing w:after="6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/>
          <w:i w:val="0"/>
          <w:sz w:val="19"/>
        </w:rPr>
        <w:t xml:space="preserve">Rheumatology - Soren Halvek, MD (Riverbend Rheumatology Associates, (412) 555-0520): </w:t>
      </w:r>
      <w:r>
        <w:rPr>
          <w:rFonts w:ascii="Arial" w:hAnsi="Arial" w:cs="Arial"/>
          <w:b/>
          <w:i w:val="0"/>
          <w:sz w:val="19"/>
        </w:rPr>
        <w:t xml:space="preserve">within 2-4 weeks. </w:t>
      </w:r>
      <w:r>
        <w:rPr>
          <w:rFonts w:ascii="Arial" w:hAnsi="Arial" w:cs="Arial"/>
          <w:b w:val="0"/>
          <w:i w:val="0"/>
          <w:sz w:val="19"/>
        </w:rPr>
        <w:t>Finalize the PMR prednisone taper; avoid abrupt discontinuation in the interim.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 xml:space="preserve">Laboratory monitoring: </w:t>
      </w:r>
    </w:p>
    <w:p>
      <w:pPr>
        <w:spacing w:after="100" w:before="0"/>
      </w:pPr>
      <w:r>
        <w:rPr>
          <w:rFonts w:ascii="Arial" w:hAnsi="Arial" w:cs="Arial"/>
          <w:b w:val="0"/>
          <w:i w:val="0"/>
          <w:sz w:val="19"/>
        </w:rPr>
        <w:t>No post-discharge labs were yet scheduled in the inpatient record. Obtain a basic metabolic panel (creatinine, BUN, potassium) within 3-7 days of discharge - at the outpatient lab (Mercy Vale Outpatient Laboratory - Harbor Crest) or with the PCP/nephrology visits - and before any cardiorenal agent is restarted (discharge creatinine 1.80 mg/dL, potassium 4.4 mmol/L; baseline 1.6-1.8 mg/dL). Continue home fingerstick glucose monitoring; recheck A1c and hemoglobin (anemia of CKD) at outpatient follow-up.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>Home services and equipment (coordinated by Case Management - Priya Ostroff, RN, CCM - and Social Work - Devra Aimes, LCSW):</w:t>
      </w:r>
    </w:p>
    <w:p>
      <w:pPr>
        <w:spacing w:after="100" w:before="0"/>
      </w:pPr>
      <w:r>
        <w:rPr>
          <w:rFonts w:ascii="Arial" w:hAnsi="Arial" w:cs="Arial"/>
          <w:b w:val="0"/>
          <w:i w:val="0"/>
          <w:sz w:val="19"/>
        </w:rPr>
        <w:t>Home health nursing (Keystone HomeCare Services) for early medication review and monitoring; home or outpatient PT/OT for continued rehabilitation; rolling walker, bedside commode, and bathroom grab bars, with removal of loose rugs. A pre-filled weekly pill organizer is recommended, with family supervision of medications and mobility for the first 5-7 days; the patient should not be solely responsible for new or changed medications during this window. Outpatient pharmacy: Harbor Crest Community Pharmacy, (412) 555-0490.</w:t>
      </w:r>
    </w:p>
    <w:p>
      <w:pPr>
        <w:spacing w:after="40" w:before="0"/>
      </w:pPr>
      <w:r>
        <w:rPr>
          <w:rFonts w:ascii="Arial" w:hAnsi="Arial" w:cs="Arial"/>
          <w:b/>
          <w:i w:val="0"/>
          <w:sz w:val="19"/>
        </w:rPr>
        <w:t>Medication-safety and family education completed at discharge: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A final medication review/teach-back was provided with Mrs. Merrow present, covering which medications are continued, which are held, and which are conditional on follow-up labs.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The heart and kidney medications were explained together, emphasizing that the four held cardiorenal agents and metformin are to be restarted only by Cardiology/Nephrology at follow-up, not independently at home.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Prednisone was explained using the rheumatology intent (cautious slow taper, do not stop abruptly) rather than bottle labels; sick-day/stress-dose guidance was reviewed - contact physicians promptly for fever, persistent vomiting, or significant dehydration rather than self-adjusting or stopping the steroid.</w:t>
      </w:r>
    </w:p>
    <w:p>
      <w:pPr>
        <w:spacing w:after="40" w:before="0"/>
        <w:ind w:left="288"/>
      </w:pPr>
      <w:r>
        <w:rPr>
          <w:rFonts w:ascii="Arial" w:hAnsi="Arial" w:cs="Arial"/>
          <w:b w:val="0"/>
          <w:i w:val="0"/>
          <w:sz w:val="19"/>
        </w:rPr>
        <w:t xml:space="preserve">•  </w:t>
      </w:r>
      <w:r>
        <w:rPr>
          <w:rFonts w:ascii="Arial" w:hAnsi="Arial" w:cs="Arial"/>
          <w:b w:val="0"/>
          <w:i w:val="0"/>
          <w:sz w:val="19"/>
        </w:rPr>
        <w:t>Supervision expectations for the first days at home (overnight, medication times, and ambulation) were reviewed with the family, including the daughter's weekend coverage.</w:t>
      </w:r>
    </w:p>
    <w:p>
      <w:pPr>
        <w:spacing w:after="120" w:before="0"/>
      </w:pPr>
      <w:r>
        <w:rPr>
          <w:rFonts w:ascii="Arial" w:hAnsi="Arial" w:cs="Arial"/>
          <w:b/>
          <w:i w:val="0"/>
          <w:sz w:val="19"/>
        </w:rPr>
        <w:t xml:space="preserve">Return precautions: </w:t>
      </w:r>
      <w:r>
        <w:rPr>
          <w:rFonts w:ascii="Arial" w:hAnsi="Arial" w:cs="Arial"/>
          <w:b w:val="0"/>
          <w:i w:val="0"/>
          <w:sz w:val="19"/>
        </w:rPr>
        <w:t>Return to the Emergency Department or call (412) 555-0150 for fever, worsening weakness, recurrent lightheadedness or a near-fall, chest pain, shortness of breath, orthopnea, increasing edema or weight gain, reduced oral intake, or any new or worsening confusion.</w:t>
      </w:r>
    </w:p>
    <w:p>
      <w:pPr>
        <w:spacing w:after="40" w:before="160"/>
      </w:pPr>
      <w:r>
        <w:rPr>
          <w:rFonts w:ascii="Arial" w:hAnsi="Arial" w:cs="Arial"/>
          <w:b w:val="0"/>
          <w:i/>
          <w:sz w:val="16"/>
        </w:rPr>
        <w:t>Electronically signed: Elian Vossmere, MD - Hospital Medicine, Mercy Vale Regional Medical Center | NPI 1528374960 | 05/24/2026</w:t>
      </w:r>
    </w:p>
    <w:p>
      <w:pPr>
        <w:spacing w:after="0" w:before="0"/>
      </w:pPr>
      <w:r>
        <w:rPr>
          <w:rFonts w:ascii="Arial" w:hAnsi="Arial" w:cs="Arial"/>
          <w:b w:val="0"/>
          <w:i/>
          <w:sz w:val="16"/>
        </w:rPr>
        <w:t>Patient: Korvin Merrow | MRN KM-6427819 | FIN KM-2026-051877 | Room 5W-318, 5 West Medical | Allergies: Lisinopril (cough) | Code Status: Full Code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Discharge Summary -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