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80"/>
      </w:pPr>
      <w:r>
        <w:rPr>
          <w:rFonts w:ascii="Arial" w:cs="Arial" w:eastAsia="Arial" w:hAnsi="Arial"/>
          <w:b/>
          <w:bCs/>
          <w:color w:val="4472C4"/>
          <w:sz w:val="32"/>
          <w:szCs w:val="32"/>
        </w:rPr>
        <w:t xml:space="preserve">Brainstorm: Marva Lydell Cardiorenal Respiratory Transition</w:t>
      </w:r>
    </w:p>
    <w:p>
      <w:pPr>
        <w:spacing w:after="140"/>
      </w:pPr>
      <w:r>
        <w:rPr>
          <w:rFonts w:ascii="Arial" w:cs="Arial" w:eastAsia="Arial" w:hAnsi="Arial"/>
          <w:i/>
          <w:iCs/>
          <w:color w:val="000000"/>
          <w:sz w:val="21"/>
          <w:szCs w:val="21"/>
        </w:rPr>
        <w:t xml:space="preserve">Concept pitch for Team Lead review</w:t>
      </w:r>
    </w:p>
    <w:p>
      <w:pPr>
        <w:spacing w:after="40"/>
      </w:pPr>
      <w:r>
        <w:rPr>
          <w:rFonts w:ascii="Arial" w:cs="Arial" w:eastAsia="Arial" w:hAnsi="Arial"/>
          <w:b/>
          <w:bCs/>
          <w:color w:val="000000"/>
          <w:sz w:val="20"/>
          <w:szCs w:val="20"/>
        </w:rPr>
        <w:t xml:space="preserve">World type: </w:t>
      </w:r>
      <w:r>
        <w:rPr>
          <w:rFonts w:ascii="Arial" w:cs="Arial" w:eastAsia="Arial" w:hAnsi="Arial"/>
          <w:color w:val="000000"/>
          <w:sz w:val="20"/>
          <w:szCs w:val="20"/>
        </w:rPr>
        <w:t xml:space="preserve">Typical Clinical World (inpatient hospital medicine, with post-discharge administrative and transition encounters)</w:t>
      </w:r>
    </w:p>
    <w:p>
      <w:pPr>
        <w:spacing w:after="40"/>
      </w:pPr>
      <w:r>
        <w:rPr>
          <w:rFonts w:ascii="Arial" w:cs="Arial" w:eastAsia="Arial" w:hAnsi="Arial"/>
          <w:b/>
          <w:bCs/>
          <w:color w:val="000000"/>
          <w:sz w:val="20"/>
          <w:szCs w:val="20"/>
        </w:rPr>
        <w:t xml:space="preserve">Patient: </w:t>
      </w:r>
      <w:r>
        <w:rPr>
          <w:rFonts w:ascii="Arial" w:cs="Arial" w:eastAsia="Arial" w:hAnsi="Arial"/>
          <w:color w:val="000000"/>
          <w:sz w:val="20"/>
          <w:szCs w:val="20"/>
        </w:rPr>
        <w:t xml:space="preserve">Marva Lydell, 72F. Synthetic MRN MB-6820374</w:t>
      </w:r>
    </w:p>
    <w:p>
      <w:pPr>
        <w:spacing w:after="40"/>
      </w:pPr>
      <w:r>
        <w:rPr>
          <w:rFonts w:ascii="Arial" w:cs="Arial" w:eastAsia="Arial" w:hAnsi="Arial"/>
          <w:b/>
          <w:bCs/>
          <w:color w:val="000000"/>
          <w:sz w:val="20"/>
          <w:szCs w:val="20"/>
        </w:rPr>
        <w:t xml:space="preserve">World snapshot: </w:t>
      </w:r>
      <w:r>
        <w:rPr>
          <w:rFonts w:ascii="Arial" w:cs="Arial" w:eastAsia="Arial" w:hAnsi="Arial"/>
          <w:color w:val="000000"/>
          <w:sz w:val="20"/>
          <w:szCs w:val="20"/>
        </w:rPr>
        <w:t xml:space="preserve">July 10, 2025, 18:00</w:t>
      </w:r>
    </w:p>
    <w:p>
      <w:pPr>
        <w:spacing w:after="40"/>
      </w:pPr>
      <w:r>
        <w:rPr>
          <w:rFonts w:ascii="Arial" w:cs="Arial" w:eastAsia="Arial" w:hAnsi="Arial"/>
          <w:b/>
          <w:bCs/>
          <w:color w:val="000000"/>
          <w:sz w:val="20"/>
          <w:szCs w:val="20"/>
        </w:rPr>
        <w:t xml:space="preserve">In-world document date: </w:t>
      </w:r>
      <w:r>
        <w:rPr>
          <w:rFonts w:ascii="Arial" w:cs="Arial" w:eastAsia="Arial" w:hAnsi="Arial"/>
          <w:color w:val="000000"/>
          <w:sz w:val="20"/>
          <w:szCs w:val="20"/>
        </w:rPr>
        <w:t xml:space="preserve">July 18, 2025</w:t>
      </w:r>
    </w:p>
    <w:p>
      <w:pPr>
        <w:spacing w:after="40"/>
      </w:pPr>
      <w:r>
        <w:rPr>
          <w:rFonts w:ascii="Arial" w:cs="Arial" w:eastAsia="Arial" w:hAnsi="Arial"/>
          <w:b/>
          <w:bCs/>
          <w:color w:val="000000"/>
          <w:sz w:val="20"/>
          <w:szCs w:val="20"/>
        </w:rPr>
        <w:t xml:space="preserve">Total tasks: </w:t>
      </w:r>
      <w:r>
        <w:rPr>
          <w:rFonts w:ascii="Arial" w:cs="Arial" w:eastAsia="Arial" w:hAnsi="Arial"/>
          <w:color w:val="000000"/>
          <w:sz w:val="20"/>
          <w:szCs w:val="20"/>
        </w:rPr>
        <w:t xml:space="preserve">10 (six P0, four P1)</w:t>
      </w:r>
    </w:p>
    <w:p>
      <w:pPr>
        <w:spacing w:after="60"/>
      </w:pPr>
      <w:r>
        <w:rPr>
          <w:rFonts w:ascii="Arial" w:cs="Arial" w:eastAsia="Arial" w:hAnsi="Arial"/>
          <w:color w:val="595959"/>
          <w:sz w:val="18"/>
          <w:szCs w:val="18"/>
        </w:rPr>
        <w:t xml:space="preserve">Prepared June 20, 2026 (submission date)</w:t>
      </w:r>
    </w:p>
    <w:p>
      <w:pPr>
        <w:pStyle w:val="Heading2"/>
        <w:pBdr>
          <w:bottom w:val="single" w:color="4472C4" w:sz="6" w:space="2"/>
        </w:pBdr>
        <w:spacing w:after="120" w:before="260"/>
      </w:pPr>
      <w:r>
        <w:rPr>
          <w:rFonts w:ascii="Arial" w:cs="Arial" w:eastAsia="Arial" w:hAnsi="Arial"/>
          <w:b/>
          <w:bCs/>
          <w:color w:val="4472C4"/>
          <w:sz w:val="26"/>
          <w:szCs w:val="26"/>
        </w:rPr>
        <w:t xml:space="preserve">1. World setup</w:t>
      </w:r>
    </w:p>
    <w:p>
      <w:pPr>
        <w:spacing w:after="120"/>
      </w:pPr>
      <w:r>
        <w:rPr>
          <w:rFonts w:ascii="Arial" w:cs="Arial" w:eastAsia="Arial" w:hAnsi="Arial"/>
          <w:color w:val="000000"/>
          <w:sz w:val="21"/>
          <w:szCs w:val="21"/>
        </w:rPr>
        <w:t xml:space="preserve">This is an inpatient hospital medicine world built around a 7-day admission for acute decompensated heart failure with hypoxemia and cardiorenal acute kidney injury. The patient, Marva Lydell, is a 72-year-old Black woman with heart failure with preserved ejection fraction, atrial fibrillation on anticoagulation, coronary artery disease with prior percutaneous coronary intervention, CKD stage 3b to 4, COPD, obstructive sleep apnea, type 2 diabetes with peripheral neuropathy, hypertension, obesity, anemia of chronic kidney disease, vitamin D deficiency, hypothyroidism, gastroesophageal reflux, and chronic constipation, with limited baseline mobility. She presents with dyspnea, edema, rising weight, exertional intolerance, and worsening kidney function after several days of worsening symptoms at home. The course runs ED evaluation, admission for IV diuresis and oxygen assessment, cardiology and nephrology consultation, respiratory therapy testing, therapy evaluation, medication adjustment, and discharge planning. Baseline medications include empagliflozin, spironolactone, torsemide, metoprolol succinate, losartan, apixaban, aspirin, metformin, insulin glargine, atorvastatin, cholecalciferol, ferrous sulfate, tiotropium with albuterol, gabapentin, levothyroxine, pantoprazole, and senna, with home oxygen and CPAP.</w:t>
      </w:r>
    </w:p>
    <w:p>
      <w:pPr>
        <w:spacing w:after="120"/>
      </w:pPr>
      <w:r>
        <w:rPr>
          <w:rFonts w:ascii="Arial" w:cs="Arial" w:eastAsia="Arial" w:hAnsi="Arial"/>
          <w:color w:val="000000"/>
          <w:sz w:val="21"/>
          <w:szCs w:val="21"/>
        </w:rPr>
        <w:t xml:space="preserve">The world snapshot closes on July 10, 2025 at 18:00, at a point of realistic tension: she is clinically improved at rest, creatinine is improving, resting oxygen saturation looks acceptable, and the discharge plan appears close, but transition safety remains unresolved. The open issues are exertional oxygen need, portable oxygen delivery, diuretic and renal-medication follow-up, anticoagulation source hierarchy, functional tolerance, and the limits of home support. Every task is an independent encounter anchored after the snapshot, answerable from the planned chart plus the payer, respiratory therapy, pharmacy, case management, therapy, quality, and post-acute materials available to that requester.</w:t>
      </w:r>
    </w:p>
    <w:p>
      <w:pPr>
        <w:spacing w:after="60"/>
      </w:pPr>
      <w:r>
        <w:rPr>
          <w:rFonts w:ascii="Arial" w:cs="Arial" w:eastAsia="Arial" w:hAnsi="Arial"/>
          <w:color w:val="000000"/>
          <w:sz w:val="21"/>
          <w:szCs w:val="21"/>
        </w:rPr>
        <w:t xml:space="preserve">World file kinds will include progress notes, vitals and weights, intake and output, nursing notes, cardiology and nephrology consult notes, respiratory therapy and oxygen-titration testing, PT/OT tolerance notes, the medication administration record, home medication history and pharmacy fill history, the discharge medication list, renal trend labs, case-management notes, DME vendor documentation, payer denial letters, SNF intake documents, family communication, and readmission and event documentation.</w:t>
      </w:r>
    </w:p>
    <w:p>
      <w:pPr>
        <w:pStyle w:val="Heading2"/>
        <w:pBdr>
          <w:bottom w:val="single" w:color="4472C4" w:sz="6" w:space="2"/>
        </w:pBdr>
        <w:spacing w:after="120" w:before="260"/>
      </w:pPr>
      <w:r>
        <w:rPr>
          <w:rFonts w:ascii="Arial" w:cs="Arial" w:eastAsia="Arial" w:hAnsi="Arial"/>
          <w:b/>
          <w:bCs/>
          <w:color w:val="4472C4"/>
          <w:sz w:val="26"/>
          <w:szCs w:val="26"/>
        </w:rPr>
        <w:t xml:space="preserve">2. Major friction points</w:t>
      </w:r>
    </w:p>
    <w:p>
      <w:pPr>
        <w:pStyle w:val="ListParagraph"/>
        <w:numPr>
          <w:ilvl w:val="0"/>
          <w:numId w:val="2"/>
        </w:numPr>
        <w:spacing w:after="100"/>
      </w:pPr>
      <w:r>
        <w:rPr>
          <w:rFonts w:ascii="Arial" w:cs="Arial" w:eastAsia="Arial" w:hAnsi="Arial"/>
          <w:b/>
          <w:bCs/>
          <w:color w:val="000000"/>
          <w:sz w:val="21"/>
          <w:szCs w:val="21"/>
        </w:rPr>
        <w:t xml:space="preserve">Hospital medicine and cardiology vs the payer medical director (central): </w:t>
      </w:r>
      <w:r>
        <w:rPr>
          <w:rFonts w:ascii="Arial" w:cs="Arial" w:eastAsia="Arial" w:hAnsi="Arial"/>
          <w:color w:val="000000"/>
          <w:sz w:val="21"/>
          <w:szCs w:val="21"/>
        </w:rPr>
        <w:t xml:space="preserve">the payer reads stable resting vitals and post-diuresis improvement as readiness for home with home health; the treating team reads the same admission as unsafe without reliable oxygen equipment, functional tolerance, and post-acute support.</w:t>
      </w:r>
    </w:p>
    <w:p>
      <w:pPr>
        <w:pStyle w:val="ListParagraph"/>
        <w:numPr>
          <w:ilvl w:val="0"/>
          <w:numId w:val="2"/>
        </w:numPr>
        <w:spacing w:after="100"/>
      </w:pPr>
      <w:r>
        <w:rPr>
          <w:rFonts w:ascii="Arial" w:cs="Arial" w:eastAsia="Arial" w:hAnsi="Arial"/>
          <w:b/>
          <w:bCs/>
          <w:color w:val="000000"/>
          <w:sz w:val="21"/>
          <w:szCs w:val="21"/>
        </w:rPr>
        <w:t xml:space="preserve">Cardiology vs nephrology: </w:t>
      </w:r>
      <w:r>
        <w:rPr>
          <w:rFonts w:ascii="Arial" w:cs="Arial" w:eastAsia="Arial" w:hAnsi="Arial"/>
          <w:color w:val="000000"/>
          <w:sz w:val="21"/>
          <w:szCs w:val="21"/>
        </w:rPr>
        <w:t xml:space="preserve">cardiology prioritizes decongestion, heart-failure protection, and readmission prevention; nephrology prioritizes kidney recovery, potassium safety, and careful timing for RAAS blockade, SGLT2 inhibitor, metformin, and diuretic changes.</w:t>
      </w:r>
    </w:p>
    <w:p>
      <w:pPr>
        <w:pStyle w:val="ListParagraph"/>
        <w:numPr>
          <w:ilvl w:val="0"/>
          <w:numId w:val="2"/>
        </w:numPr>
        <w:spacing w:after="100"/>
      </w:pPr>
      <w:r>
        <w:rPr>
          <w:rFonts w:ascii="Arial" w:cs="Arial" w:eastAsia="Arial" w:hAnsi="Arial"/>
          <w:b/>
          <w:bCs/>
          <w:color w:val="000000"/>
          <w:sz w:val="21"/>
          <w:szCs w:val="21"/>
        </w:rPr>
        <w:t xml:space="preserve">Respiratory therapy and pulmonary vs case management and the DME vendor: </w:t>
      </w:r>
      <w:r>
        <w:rPr>
          <w:rFonts w:ascii="Arial" w:cs="Arial" w:eastAsia="Arial" w:hAnsi="Arial"/>
          <w:color w:val="000000"/>
          <w:sz w:val="21"/>
          <w:szCs w:val="21"/>
        </w:rPr>
        <w:t xml:space="preserve">respiratory testing identifies exertional oxygen need, while case-management and vendor documentation may describe equipment as arranged before all usable pieces are actually delivered.</w:t>
      </w:r>
    </w:p>
    <w:p>
      <w:pPr>
        <w:pStyle w:val="ListParagraph"/>
        <w:numPr>
          <w:ilvl w:val="0"/>
          <w:numId w:val="2"/>
        </w:numPr>
        <w:spacing w:after="100"/>
      </w:pPr>
      <w:r>
        <w:rPr>
          <w:rFonts w:ascii="Arial" w:cs="Arial" w:eastAsia="Arial" w:hAnsi="Arial"/>
          <w:b/>
          <w:bCs/>
          <w:color w:val="000000"/>
          <w:sz w:val="21"/>
          <w:szCs w:val="21"/>
        </w:rPr>
        <w:t xml:space="preserve">Patient and family vs PT/OT and discharge planning: </w:t>
      </w:r>
      <w:r>
        <w:rPr>
          <w:rFonts w:ascii="Arial" w:cs="Arial" w:eastAsia="Arial" w:hAnsi="Arial"/>
          <w:color w:val="000000"/>
          <w:sz w:val="21"/>
          <w:szCs w:val="21"/>
        </w:rPr>
        <w:t xml:space="preserve">Marva wants to go home and her daughter can check in, but therapy findings, stairs, oxygen logistics, fatigue, and medication complexity may exceed that support.</w:t>
      </w:r>
    </w:p>
    <w:p>
      <w:pPr>
        <w:pStyle w:val="ListParagraph"/>
        <w:numPr>
          <w:ilvl w:val="0"/>
          <w:numId w:val="2"/>
        </w:numPr>
        <w:spacing w:after="100"/>
      </w:pPr>
      <w:r>
        <w:rPr>
          <w:rFonts w:ascii="Arial" w:cs="Arial" w:eastAsia="Arial" w:hAnsi="Arial"/>
          <w:b/>
          <w:bCs/>
          <w:color w:val="000000"/>
          <w:sz w:val="21"/>
          <w:szCs w:val="21"/>
        </w:rPr>
        <w:t xml:space="preserve">Pharmacy and SNF intake vs the inpatient chart: </w:t>
      </w:r>
      <w:r>
        <w:rPr>
          <w:rFonts w:ascii="Arial" w:cs="Arial" w:eastAsia="Arial" w:hAnsi="Arial"/>
          <w:color w:val="000000"/>
          <w:sz w:val="21"/>
          <w:szCs w:val="21"/>
        </w:rPr>
        <w:t xml:space="preserve">outside medication or intake documents can carry a stale anticoagulation dose, duplicate therapy, or renal-dose error that conflicts with the active inpatient record.</w:t>
      </w:r>
    </w:p>
    <w:p>
      <w:pPr>
        <w:pStyle w:val="ListParagraph"/>
        <w:numPr>
          <w:ilvl w:val="0"/>
          <w:numId w:val="2"/>
        </w:numPr>
        <w:spacing w:after="100"/>
      </w:pPr>
      <w:r>
        <w:rPr>
          <w:rFonts w:ascii="Arial" w:cs="Arial" w:eastAsia="Arial" w:hAnsi="Arial"/>
          <w:b/>
          <w:bCs/>
          <w:color w:val="000000"/>
          <w:sz w:val="21"/>
          <w:szCs w:val="21"/>
        </w:rPr>
        <w:t xml:space="preserve">Quality reviewer vs clinician author: </w:t>
      </w:r>
      <w:r>
        <w:rPr>
          <w:rFonts w:ascii="Arial" w:cs="Arial" w:eastAsia="Arial" w:hAnsi="Arial"/>
          <w:color w:val="000000"/>
          <w:sz w:val="21"/>
          <w:szCs w:val="21"/>
        </w:rPr>
        <w:t xml:space="preserve">administrative review often wants a clean closure, while the clinically correct answer may be to leave oxygen control, volume status, or follow-up ownership explicitly open.</w:t>
      </w:r>
    </w:p>
    <w:p>
      <w:pPr>
        <w:pStyle w:val="Heading2"/>
        <w:pBdr>
          <w:bottom w:val="single" w:color="4472C4" w:sz="6" w:space="2"/>
        </w:pBdr>
        <w:spacing w:after="120" w:before="260"/>
      </w:pPr>
      <w:r>
        <w:rPr>
          <w:rFonts w:ascii="Arial" w:cs="Arial" w:eastAsia="Arial" w:hAnsi="Arial"/>
          <w:b/>
          <w:bCs/>
          <w:color w:val="4472C4"/>
          <w:sz w:val="26"/>
          <w:szCs w:val="26"/>
        </w:rPr>
        <w:t xml:space="preserve">3. Major traps</w:t>
      </w:r>
    </w:p>
    <w:p>
      <w:pPr>
        <w:pStyle w:val="ListParagraph"/>
        <w:numPr>
          <w:ilvl w:val="0"/>
          <w:numId w:val="2"/>
        </w:numPr>
        <w:spacing w:after="100"/>
      </w:pPr>
      <w:r>
        <w:rPr>
          <w:rFonts w:ascii="Arial" w:cs="Arial" w:eastAsia="Arial" w:hAnsi="Arial"/>
          <w:b/>
          <w:bCs/>
          <w:color w:val="000000"/>
          <w:sz w:val="21"/>
          <w:szCs w:val="21"/>
        </w:rPr>
        <w:t xml:space="preserve">Resting oxygen vs exertional oxygen (contradictory and buried; world-level). </w:t>
      </w:r>
      <w:r>
        <w:rPr>
          <w:rFonts w:ascii="Arial" w:cs="Arial" w:eastAsia="Arial" w:hAnsi="Arial"/>
          <w:color w:val="000000"/>
          <w:sz w:val="21"/>
          <w:szCs w:val="21"/>
        </w:rPr>
        <w:t xml:space="preserve">Resting saturation looks safe in routine vitals while therapy or respiratory testing documents exertional desaturation. Synthesis across vitals, respiratory therapy testing, PT/OT tolerance, and discharge planning. Denial and continued-stay tasks force the distinction.</w:t>
      </w:r>
    </w:p>
    <w:p>
      <w:pPr>
        <w:pStyle w:val="ListParagraph"/>
        <w:numPr>
          <w:ilvl w:val="0"/>
          <w:numId w:val="2"/>
        </w:numPr>
        <w:spacing w:after="100"/>
      </w:pPr>
      <w:r>
        <w:rPr>
          <w:rFonts w:ascii="Arial" w:cs="Arial" w:eastAsia="Arial" w:hAnsi="Arial"/>
          <w:b/>
          <w:bCs/>
          <w:color w:val="000000"/>
          <w:sz w:val="21"/>
          <w:szCs w:val="21"/>
        </w:rPr>
        <w:t xml:space="preserve">DME arranged vs DME delivered (source-of-truth ambiguity; world-level). </w:t>
      </w:r>
      <w:r>
        <w:rPr>
          <w:rFonts w:ascii="Arial" w:cs="Arial" w:eastAsia="Arial" w:hAnsi="Arial"/>
          <w:color w:val="000000"/>
          <w:sz w:val="21"/>
          <w:szCs w:val="21"/>
        </w:rPr>
        <w:t xml:space="preserve">A case-management note may say oxygen was arranged while vendor documentation shows portable oxygen was not delivered, not functional, or not teach-backed. Synthesis across case management, vendor, nursing, and family communication.</w:t>
      </w:r>
    </w:p>
    <w:p>
      <w:pPr>
        <w:pStyle w:val="ListParagraph"/>
        <w:numPr>
          <w:ilvl w:val="0"/>
          <w:numId w:val="2"/>
        </w:numPr>
        <w:spacing w:after="100"/>
      </w:pPr>
      <w:r>
        <w:rPr>
          <w:rFonts w:ascii="Arial" w:cs="Arial" w:eastAsia="Arial" w:hAnsi="Arial"/>
          <w:b/>
          <w:bCs/>
          <w:color w:val="000000"/>
          <w:sz w:val="21"/>
          <w:szCs w:val="21"/>
        </w:rPr>
        <w:t xml:space="preserve">Improving kidney function vs medication readiness (temporal complexity; world-level). </w:t>
      </w:r>
      <w:r>
        <w:rPr>
          <w:rFonts w:ascii="Arial" w:cs="Arial" w:eastAsia="Arial" w:hAnsi="Arial"/>
          <w:color w:val="000000"/>
          <w:sz w:val="21"/>
          <w:szCs w:val="21"/>
        </w:rPr>
        <w:t xml:space="preserve">Creatinine and potassium improve after diuresis, but that does not automatically make held renal or diabetes medications safe to restart. Synthesis across nephrology, cardiology, MAR, renal trend, and discharge medication list.</w:t>
      </w:r>
    </w:p>
    <w:p>
      <w:pPr>
        <w:pStyle w:val="ListParagraph"/>
        <w:numPr>
          <w:ilvl w:val="0"/>
          <w:numId w:val="2"/>
        </w:numPr>
        <w:spacing w:after="100"/>
      </w:pPr>
      <w:r>
        <w:rPr>
          <w:rFonts w:ascii="Arial" w:cs="Arial" w:eastAsia="Arial" w:hAnsi="Arial"/>
          <w:b/>
          <w:bCs/>
          <w:color w:val="000000"/>
          <w:sz w:val="21"/>
          <w:szCs w:val="21"/>
        </w:rPr>
        <w:t xml:space="preserve">Volume status improvement vs transition readiness (buried significant information; world-level). </w:t>
      </w:r>
      <w:r>
        <w:rPr>
          <w:rFonts w:ascii="Arial" w:cs="Arial" w:eastAsia="Arial" w:hAnsi="Arial"/>
          <w:color w:val="000000"/>
          <w:sz w:val="21"/>
          <w:szCs w:val="21"/>
        </w:rPr>
        <w:t xml:space="preserve">Lower weight, improved edema, and better dyspnea coexist with orthopnea, exertional intolerance, and borderline renal recovery. Synthesis across progress notes, weights, intake/output, nursing notes, and therapy findings.</w:t>
      </w:r>
    </w:p>
    <w:p>
      <w:pPr>
        <w:pStyle w:val="ListParagraph"/>
        <w:numPr>
          <w:ilvl w:val="0"/>
          <w:numId w:val="2"/>
        </w:numPr>
        <w:spacing w:after="100"/>
      </w:pPr>
      <w:r>
        <w:rPr>
          <w:rFonts w:ascii="Arial" w:cs="Arial" w:eastAsia="Arial" w:hAnsi="Arial"/>
          <w:b/>
          <w:bCs/>
          <w:color w:val="000000"/>
          <w:sz w:val="21"/>
          <w:szCs w:val="21"/>
        </w:rPr>
        <w:t xml:space="preserve">Anticoagulation dose and duplicate-therapy risk (source-of-truth ambiguity; world-level). </w:t>
      </w:r>
      <w:r>
        <w:rPr>
          <w:rFonts w:ascii="Arial" w:cs="Arial" w:eastAsia="Arial" w:hAnsi="Arial"/>
          <w:color w:val="000000"/>
          <w:sz w:val="21"/>
          <w:szCs w:val="21"/>
        </w:rPr>
        <w:t xml:space="preserve">Inpatient orders, home medication history, renal function, and post-acute intake may conflict on anticoagulation dose or antiplatelet overlap. Synthesis across MAR, discharge medication list, renal trend, fill history, and SNF intake.</w:t>
      </w:r>
    </w:p>
    <w:p>
      <w:pPr>
        <w:pStyle w:val="ListParagraph"/>
        <w:numPr>
          <w:ilvl w:val="0"/>
          <w:numId w:val="2"/>
        </w:numPr>
        <w:spacing w:after="100"/>
      </w:pPr>
      <w:r>
        <w:rPr>
          <w:rFonts w:ascii="Arial" w:cs="Arial" w:eastAsia="Arial" w:hAnsi="Arial"/>
          <w:b/>
          <w:bCs/>
          <w:color w:val="000000"/>
          <w:sz w:val="21"/>
          <w:szCs w:val="21"/>
        </w:rPr>
        <w:t xml:space="preserve">Home support overestimated (SDOH and functional context; world-level). </w:t>
      </w:r>
      <w:r>
        <w:rPr>
          <w:rFonts w:ascii="Arial" w:cs="Arial" w:eastAsia="Arial" w:hAnsi="Arial"/>
          <w:color w:val="000000"/>
          <w:sz w:val="21"/>
          <w:szCs w:val="21"/>
        </w:rPr>
        <w:t xml:space="preserve">Daughter support is real but intermittent, with stairs, limited transportation, oxygen-equipment burden, and complex medication changes. Synthesis across PT/OT, case management, nursing education, and family communication.</w:t>
      </w:r>
    </w:p>
    <w:p>
      <w:pPr>
        <w:pStyle w:val="ListParagraph"/>
        <w:numPr>
          <w:ilvl w:val="0"/>
          <w:numId w:val="2"/>
        </w:numPr>
        <w:spacing w:after="100"/>
      </w:pPr>
      <w:r>
        <w:rPr>
          <w:rFonts w:ascii="Arial" w:cs="Arial" w:eastAsia="Arial" w:hAnsi="Arial"/>
          <w:b/>
          <w:bCs/>
          <w:color w:val="000000"/>
          <w:sz w:val="21"/>
          <w:szCs w:val="21"/>
        </w:rPr>
        <w:t xml:space="preserve">Respiratory control over-closed (source-of-truth ambiguity; world-level). </w:t>
      </w:r>
      <w:r>
        <w:rPr>
          <w:rFonts w:ascii="Arial" w:cs="Arial" w:eastAsia="Arial" w:hAnsi="Arial"/>
          <w:color w:val="000000"/>
          <w:sz w:val="21"/>
          <w:szCs w:val="21"/>
        </w:rPr>
        <w:t xml:space="preserve">COPD or OSA may be described as stable because the patient owns home equipment, while the record does not prove effective use, exertional control, or adequate follow-up. Synthesis across respiratory therapy, sleep-equipment history, oxygen testing, and follow-up planning.</w:t>
      </w:r>
    </w:p>
    <w:p>
      <w:pPr>
        <w:pStyle w:val="ListParagraph"/>
        <w:numPr>
          <w:ilvl w:val="0"/>
          <w:numId w:val="2"/>
        </w:numPr>
        <w:spacing w:after="100"/>
      </w:pPr>
      <w:r>
        <w:rPr>
          <w:rFonts w:ascii="Arial" w:cs="Arial" w:eastAsia="Arial" w:hAnsi="Arial"/>
          <w:b/>
          <w:bCs/>
          <w:color w:val="000000"/>
          <w:sz w:val="21"/>
          <w:szCs w:val="21"/>
        </w:rPr>
        <w:t xml:space="preserve">Payer denial authority bias (external-source conflict; task-level). </w:t>
      </w:r>
      <w:r>
        <w:rPr>
          <w:rFonts w:ascii="Arial" w:cs="Arial" w:eastAsia="Arial" w:hAnsi="Arial"/>
          <w:color w:val="000000"/>
          <w:sz w:val="21"/>
          <w:szCs w:val="21"/>
        </w:rPr>
        <w:t xml:space="preserve">A structured denial letter can sound definitive while omitting the clinical facts that support skilled care or equipment-level need. Synthesis across the denial, therapy data, oxygen testing, case-management notes, and physician documentation.</w:t>
      </w:r>
    </w:p>
    <w:p>
      <w:pPr>
        <w:pStyle w:val="ListParagraph"/>
        <w:numPr>
          <w:ilvl w:val="0"/>
          <w:numId w:val="2"/>
        </w:numPr>
        <w:spacing w:after="100"/>
      </w:pPr>
      <w:r>
        <w:rPr>
          <w:rFonts w:ascii="Arial" w:cs="Arial" w:eastAsia="Arial" w:hAnsi="Arial"/>
          <w:b/>
          <w:bCs/>
          <w:color w:val="000000"/>
          <w:sz w:val="21"/>
          <w:szCs w:val="21"/>
        </w:rPr>
        <w:t xml:space="preserve">Readmission attribution shortcut (retrospective-review risk; task-level). </w:t>
      </w:r>
      <w:r>
        <w:rPr>
          <w:rFonts w:ascii="Arial" w:cs="Arial" w:eastAsia="Arial" w:hAnsi="Arial"/>
          <w:color w:val="000000"/>
          <w:sz w:val="21"/>
          <w:szCs w:val="21"/>
        </w:rPr>
        <w:t xml:space="preserve">A bounceback can be framed as patient nonadherence when the chart shows incomplete equipment delivery, unclear medication ownership, or an unsafe transition plan. Synthesis across discharge materials, vendor records, follow-up communication, and readmission documentation.</w:t>
      </w:r>
    </w:p>
    <w:p>
      <w:pPr>
        <w:pStyle w:val="Heading2"/>
        <w:pBdr>
          <w:bottom w:val="single" w:color="4472C4" w:sz="6" w:space="2"/>
        </w:pBdr>
        <w:spacing w:after="120" w:before="260"/>
      </w:pPr>
      <w:r>
        <w:rPr>
          <w:rFonts w:ascii="Arial" w:cs="Arial" w:eastAsia="Arial" w:hAnsi="Arial"/>
          <w:b/>
          <w:bCs/>
          <w:color w:val="4472C4"/>
          <w:sz w:val="26"/>
          <w:szCs w:val="26"/>
        </w:rPr>
        <w:t xml:space="preserve">4. Rough task ideas</w:t>
      </w:r>
    </w:p>
    <w:p>
      <w:pPr>
        <w:spacing w:after="100"/>
      </w:pPr>
      <w:r>
        <w:rPr>
          <w:rFonts w:ascii="Arial" w:cs="Arial" w:eastAsia="Arial" w:hAnsi="Arial"/>
          <w:color w:val="000000"/>
          <w:sz w:val="21"/>
          <w:szCs w:val="21"/>
        </w:rPr>
        <w:t xml:space="preserve">Ten tasks, each an independent post-snapshot encounter. Each names its deliverable, the workflow it maps to with priority tier, the requester, the structure and forced decision, the frictions and traps it draws on, and its anchor relative to the snapshot.</w:t>
      </w:r>
    </w:p>
    <w:p>
      <w:pPr>
        <w:spacing w:after="30" w:before="120"/>
      </w:pPr>
      <w:r>
        <w:rPr>
          <w:rFonts w:ascii="Arial" w:cs="Arial" w:eastAsia="Arial" w:hAnsi="Arial"/>
          <w:b/>
          <w:bCs/>
          <w:color w:val="000000"/>
          <w:sz w:val="21"/>
          <w:szCs w:val="21"/>
        </w:rPr>
        <w:t xml:space="preserve">Task 1 - Oxygen and SNF denial appeal</w:t>
      </w:r>
    </w:p>
    <w:p>
      <w:pPr>
        <w:spacing w:after="60"/>
      </w:pPr>
      <w:r>
        <w:rPr>
          <w:rFonts w:ascii="Arial" w:cs="Arial" w:eastAsia="Arial" w:hAnsi="Arial"/>
          <w:b/>
          <w:bCs/>
          <w:color w:val="000000"/>
          <w:sz w:val="21"/>
          <w:szCs w:val="21"/>
        </w:rPr>
        <w:t xml:space="preserve">Workflow: </w:t>
      </w:r>
      <w:r>
        <w:rPr>
          <w:rFonts w:ascii="Arial" w:cs="Arial" w:eastAsia="Arial" w:hAnsi="Arial"/>
          <w:color w:val="000000"/>
          <w:sz w:val="21"/>
          <w:szCs w:val="21"/>
        </w:rPr>
        <w:t xml:space="preserve">Claims Denial Analysis and Appeal Preparation (</w:t>
      </w:r>
      <w:r>
        <w:rPr>
          <w:rFonts w:ascii="Arial" w:cs="Arial" w:eastAsia="Arial" w:hAnsi="Arial"/>
          <w:color w:val="000000"/>
          <w:sz w:val="21"/>
          <w:szCs w:val="21"/>
        </w:rPr>
        <w:t xml:space="preserve">P0</w:t>
      </w:r>
      <w:r>
        <w:rPr>
          <w:rFonts w:ascii="Arial" w:cs="Arial" w:eastAsia="Arial" w:hAnsi="Arial"/>
          <w:color w:val="000000"/>
          <w:sz w:val="21"/>
          <w:szCs w:val="21"/>
        </w:rPr>
        <w:t xml:space="preserve">).</w:t>
      </w:r>
      <w:r>
        <w:rPr>
          <w:rFonts w:ascii="Arial" w:cs="Arial" w:eastAsia="Arial" w:hAnsi="Arial"/>
          <w:b/>
          <w:bCs/>
          <w:color w:val="000000"/>
          <w:sz w:val="21"/>
          <w:szCs w:val="21"/>
        </w:rPr>
        <w:t xml:space="preserve">  Requester: </w:t>
      </w:r>
      <w:r>
        <w:rPr>
          <w:rFonts w:ascii="Arial" w:cs="Arial" w:eastAsia="Arial" w:hAnsi="Arial"/>
          <w:color w:val="000000"/>
          <w:sz w:val="21"/>
          <w:szCs w:val="21"/>
        </w:rPr>
        <w:t xml:space="preserve">Hospitalist attending, for case management.</w:t>
      </w:r>
    </w:p>
    <w:p>
      <w:pPr>
        <w:spacing w:after="60"/>
      </w:pPr>
      <w:r>
        <w:rPr>
          <w:rFonts w:ascii="Arial" w:cs="Arial" w:eastAsia="Arial" w:hAnsi="Arial"/>
          <w:b/>
          <w:bCs/>
          <w:color w:val="000000"/>
          <w:sz w:val="21"/>
          <w:szCs w:val="21"/>
        </w:rPr>
        <w:t xml:space="preserve">Structure: </w:t>
      </w:r>
      <w:r>
        <w:rPr>
          <w:rFonts w:ascii="Arial" w:cs="Arial" w:eastAsia="Arial" w:hAnsi="Arial"/>
          <w:color w:val="000000"/>
          <w:sz w:val="21"/>
          <w:szCs w:val="21"/>
        </w:rPr>
        <w:t xml:space="preserve">External position review; appeal, accept, or narrow the denial.</w:t>
      </w:r>
    </w:p>
    <w:p>
      <w:pPr>
        <w:spacing w:after="60"/>
      </w:pPr>
      <w:r>
        <w:rPr>
          <w:rFonts w:ascii="Arial" w:cs="Arial" w:eastAsia="Arial" w:hAnsi="Arial"/>
          <w:b/>
          <w:bCs/>
          <w:color w:val="000000"/>
          <w:sz w:val="21"/>
          <w:szCs w:val="21"/>
        </w:rPr>
        <w:t xml:space="preserve">Draws on: </w:t>
      </w:r>
      <w:r>
        <w:rPr>
          <w:rFonts w:ascii="Arial" w:cs="Arial" w:eastAsia="Arial" w:hAnsi="Arial"/>
          <w:color w:val="000000"/>
          <w:sz w:val="21"/>
          <w:szCs w:val="21"/>
        </w:rPr>
        <w:t xml:space="preserve">Payer-vs-team friction and the resting-vs-exertional-oxygen trap: the denial relies on resting oxygen and ignores exertional oxygen need and transition risk.</w:t>
      </w:r>
    </w:p>
    <w:p>
      <w:pPr>
        <w:spacing w:after="60"/>
      </w:pPr>
      <w:r>
        <w:rPr>
          <w:rFonts w:ascii="Arial" w:cs="Arial" w:eastAsia="Arial" w:hAnsi="Arial"/>
          <w:b/>
          <w:bCs/>
          <w:color w:val="000000"/>
          <w:sz w:val="21"/>
          <w:szCs w:val="21"/>
        </w:rPr>
        <w:t xml:space="preserve">Anchor: </w:t>
      </w:r>
      <w:r>
        <w:rPr>
          <w:rFonts w:ascii="Arial" w:cs="Arial" w:eastAsia="Arial" w:hAnsi="Arial"/>
          <w:color w:val="000000"/>
          <w:sz w:val="21"/>
          <w:szCs w:val="21"/>
        </w:rPr>
        <w:t xml:space="preserve">July 11, 2025, 09:00 (after the snapshot).</w:t>
      </w:r>
    </w:p>
    <w:p>
      <w:pPr>
        <w:spacing w:after="30" w:before="120"/>
      </w:pPr>
      <w:r>
        <w:rPr>
          <w:rFonts w:ascii="Arial" w:cs="Arial" w:eastAsia="Arial" w:hAnsi="Arial"/>
          <w:b/>
          <w:bCs/>
          <w:color w:val="000000"/>
          <w:sz w:val="21"/>
          <w:szCs w:val="21"/>
        </w:rPr>
        <w:t xml:space="preserve">Task 2 - Discharge medication reconciliation</w:t>
      </w:r>
    </w:p>
    <w:p>
      <w:pPr>
        <w:spacing w:after="60"/>
      </w:pPr>
      <w:r>
        <w:rPr>
          <w:rFonts w:ascii="Arial" w:cs="Arial" w:eastAsia="Arial" w:hAnsi="Arial"/>
          <w:b/>
          <w:bCs/>
          <w:color w:val="000000"/>
          <w:sz w:val="21"/>
          <w:szCs w:val="21"/>
        </w:rPr>
        <w:t xml:space="preserve">Workflow: </w:t>
      </w:r>
      <w:r>
        <w:rPr>
          <w:rFonts w:ascii="Arial" w:cs="Arial" w:eastAsia="Arial" w:hAnsi="Arial"/>
          <w:color w:val="000000"/>
          <w:sz w:val="21"/>
          <w:szCs w:val="21"/>
        </w:rPr>
        <w:t xml:space="preserve">Medication Reconciliation (</w:t>
      </w:r>
      <w:r>
        <w:rPr>
          <w:rFonts w:ascii="Arial" w:cs="Arial" w:eastAsia="Arial" w:hAnsi="Arial"/>
          <w:color w:val="000000"/>
          <w:sz w:val="21"/>
          <w:szCs w:val="21"/>
        </w:rPr>
        <w:t xml:space="preserve">P0</w:t>
      </w:r>
      <w:r>
        <w:rPr>
          <w:rFonts w:ascii="Arial" w:cs="Arial" w:eastAsia="Arial" w:hAnsi="Arial"/>
          <w:color w:val="000000"/>
          <w:sz w:val="21"/>
          <w:szCs w:val="21"/>
        </w:rPr>
        <w:t xml:space="preserve">).</w:t>
      </w:r>
      <w:r>
        <w:rPr>
          <w:rFonts w:ascii="Arial" w:cs="Arial" w:eastAsia="Arial" w:hAnsi="Arial"/>
          <w:b/>
          <w:bCs/>
          <w:color w:val="000000"/>
          <w:sz w:val="21"/>
          <w:szCs w:val="21"/>
        </w:rPr>
        <w:t xml:space="preserve">  Requester: </w:t>
      </w:r>
      <w:r>
        <w:rPr>
          <w:rFonts w:ascii="Arial" w:cs="Arial" w:eastAsia="Arial" w:hAnsi="Arial"/>
          <w:color w:val="000000"/>
          <w:sz w:val="21"/>
          <w:szCs w:val="21"/>
        </w:rPr>
        <w:t xml:space="preserve">Hospitalist attending.</w:t>
      </w:r>
    </w:p>
    <w:p>
      <w:pPr>
        <w:spacing w:after="60"/>
      </w:pPr>
      <w:r>
        <w:rPr>
          <w:rFonts w:ascii="Arial" w:cs="Arial" w:eastAsia="Arial" w:hAnsi="Arial"/>
          <w:b/>
          <w:bCs/>
          <w:color w:val="000000"/>
          <w:sz w:val="21"/>
          <w:szCs w:val="21"/>
        </w:rPr>
        <w:t xml:space="preserve">Structure: </w:t>
      </w:r>
      <w:r>
        <w:rPr>
          <w:rFonts w:ascii="Arial" w:cs="Arial" w:eastAsia="Arial" w:hAnsi="Arial"/>
          <w:color w:val="000000"/>
          <w:sz w:val="21"/>
          <w:szCs w:val="21"/>
        </w:rPr>
        <w:t xml:space="preserve">Forced inventory; continue, hold, change, stop, or defer per medication row.</w:t>
      </w:r>
    </w:p>
    <w:p>
      <w:pPr>
        <w:spacing w:after="60"/>
      </w:pPr>
      <w:r>
        <w:rPr>
          <w:rFonts w:ascii="Arial" w:cs="Arial" w:eastAsia="Arial" w:hAnsi="Arial"/>
          <w:b/>
          <w:bCs/>
          <w:color w:val="000000"/>
          <w:sz w:val="21"/>
          <w:szCs w:val="21"/>
        </w:rPr>
        <w:t xml:space="preserve">Draws on: </w:t>
      </w:r>
      <w:r>
        <w:rPr>
          <w:rFonts w:ascii="Arial" w:cs="Arial" w:eastAsia="Arial" w:hAnsi="Arial"/>
          <w:color w:val="000000"/>
          <w:sz w:val="21"/>
          <w:szCs w:val="21"/>
        </w:rPr>
        <w:t xml:space="preserve">Anticoagulation/duplicate-therapy and medication-readiness traps: an outside list carries stale renal or anticoagulation logic despite updated kidney function and active orders.</w:t>
      </w:r>
    </w:p>
    <w:p>
      <w:pPr>
        <w:spacing w:after="60"/>
      </w:pPr>
      <w:r>
        <w:rPr>
          <w:rFonts w:ascii="Arial" w:cs="Arial" w:eastAsia="Arial" w:hAnsi="Arial"/>
          <w:b/>
          <w:bCs/>
          <w:color w:val="000000"/>
          <w:sz w:val="21"/>
          <w:szCs w:val="21"/>
        </w:rPr>
        <w:t xml:space="preserve">Anchor: </w:t>
      </w:r>
      <w:r>
        <w:rPr>
          <w:rFonts w:ascii="Arial" w:cs="Arial" w:eastAsia="Arial" w:hAnsi="Arial"/>
          <w:color w:val="000000"/>
          <w:sz w:val="21"/>
          <w:szCs w:val="21"/>
        </w:rPr>
        <w:t xml:space="preserve">July 11, 2025, 10:00.</w:t>
      </w:r>
    </w:p>
    <w:p>
      <w:pPr>
        <w:spacing w:after="30" w:before="120"/>
      </w:pPr>
      <w:r>
        <w:rPr>
          <w:rFonts w:ascii="Arial" w:cs="Arial" w:eastAsia="Arial" w:hAnsi="Arial"/>
          <w:b/>
          <w:bCs/>
          <w:color w:val="000000"/>
          <w:sz w:val="21"/>
          <w:szCs w:val="21"/>
        </w:rPr>
        <w:t xml:space="preserve">Task 3 - Continued-stay review</w:t>
      </w:r>
    </w:p>
    <w:p>
      <w:pPr>
        <w:spacing w:after="60"/>
      </w:pPr>
      <w:r>
        <w:rPr>
          <w:rFonts w:ascii="Arial" w:cs="Arial" w:eastAsia="Arial" w:hAnsi="Arial"/>
          <w:b/>
          <w:bCs/>
          <w:color w:val="000000"/>
          <w:sz w:val="21"/>
          <w:szCs w:val="21"/>
        </w:rPr>
        <w:t xml:space="preserve">Workflow: </w:t>
      </w:r>
      <w:r>
        <w:rPr>
          <w:rFonts w:ascii="Arial" w:cs="Arial" w:eastAsia="Arial" w:hAnsi="Arial"/>
          <w:color w:val="000000"/>
          <w:sz w:val="21"/>
          <w:szCs w:val="21"/>
        </w:rPr>
        <w:t xml:space="preserve">Utilization Review Concurrent Stay Documentation (</w:t>
      </w:r>
      <w:r>
        <w:rPr>
          <w:rFonts w:ascii="Arial" w:cs="Arial" w:eastAsia="Arial" w:hAnsi="Arial"/>
          <w:color w:val="000000"/>
          <w:sz w:val="21"/>
          <w:szCs w:val="21"/>
        </w:rPr>
        <w:t xml:space="preserve">P1</w:t>
      </w:r>
      <w:r>
        <w:rPr>
          <w:rFonts w:ascii="Arial" w:cs="Arial" w:eastAsia="Arial" w:hAnsi="Arial"/>
          <w:color w:val="000000"/>
          <w:sz w:val="21"/>
          <w:szCs w:val="21"/>
        </w:rPr>
        <w:t xml:space="preserve">).</w:t>
      </w:r>
      <w:r>
        <w:rPr>
          <w:rFonts w:ascii="Arial" w:cs="Arial" w:eastAsia="Arial" w:hAnsi="Arial"/>
          <w:b/>
          <w:bCs/>
          <w:color w:val="000000"/>
          <w:sz w:val="21"/>
          <w:szCs w:val="21"/>
        </w:rPr>
        <w:t xml:space="preserve">  Requester: </w:t>
      </w:r>
      <w:r>
        <w:rPr>
          <w:rFonts w:ascii="Arial" w:cs="Arial" w:eastAsia="Arial" w:hAnsi="Arial"/>
          <w:color w:val="000000"/>
          <w:sz w:val="21"/>
          <w:szCs w:val="21"/>
        </w:rPr>
        <w:t xml:space="preserve">Physician advisor.</w:t>
      </w:r>
    </w:p>
    <w:p>
      <w:pPr>
        <w:spacing w:after="60"/>
      </w:pPr>
      <w:r>
        <w:rPr>
          <w:rFonts w:ascii="Arial" w:cs="Arial" w:eastAsia="Arial" w:hAnsi="Arial"/>
          <w:b/>
          <w:bCs/>
          <w:color w:val="000000"/>
          <w:sz w:val="21"/>
          <w:szCs w:val="21"/>
        </w:rPr>
        <w:t xml:space="preserve">Structure: </w:t>
      </w:r>
      <w:r>
        <w:rPr>
          <w:rFonts w:ascii="Arial" w:cs="Arial" w:eastAsia="Arial" w:hAnsi="Arial"/>
          <w:color w:val="000000"/>
          <w:sz w:val="21"/>
          <w:szCs w:val="21"/>
        </w:rPr>
        <w:t xml:space="preserve">Determination; approve continued stay, narrow, or deny.</w:t>
      </w:r>
    </w:p>
    <w:p>
      <w:pPr>
        <w:spacing w:after="60"/>
      </w:pPr>
      <w:r>
        <w:rPr>
          <w:rFonts w:ascii="Arial" w:cs="Arial" w:eastAsia="Arial" w:hAnsi="Arial"/>
          <w:b/>
          <w:bCs/>
          <w:color w:val="000000"/>
          <w:sz w:val="21"/>
          <w:szCs w:val="21"/>
        </w:rPr>
        <w:t xml:space="preserve">Draws on: </w:t>
      </w:r>
      <w:r>
        <w:rPr>
          <w:rFonts w:ascii="Arial" w:cs="Arial" w:eastAsia="Arial" w:hAnsi="Arial"/>
          <w:color w:val="000000"/>
          <w:sz w:val="21"/>
          <w:szCs w:val="21"/>
        </w:rPr>
        <w:t xml:space="preserve">Volume-vs-transition-readiness and resting-vs-exertional-oxygen traps: the review worksheet treats post-diuresis improvement as readiness despite unresolved oxygen equipment and exertional tolerance.</w:t>
      </w:r>
    </w:p>
    <w:p>
      <w:pPr>
        <w:spacing w:after="60"/>
      </w:pPr>
      <w:r>
        <w:rPr>
          <w:rFonts w:ascii="Arial" w:cs="Arial" w:eastAsia="Arial" w:hAnsi="Arial"/>
          <w:b/>
          <w:bCs/>
          <w:color w:val="000000"/>
          <w:sz w:val="21"/>
          <w:szCs w:val="21"/>
        </w:rPr>
        <w:t xml:space="preserve">Anchor: </w:t>
      </w:r>
      <w:r>
        <w:rPr>
          <w:rFonts w:ascii="Arial" w:cs="Arial" w:eastAsia="Arial" w:hAnsi="Arial"/>
          <w:color w:val="000000"/>
          <w:sz w:val="21"/>
          <w:szCs w:val="21"/>
        </w:rPr>
        <w:t xml:space="preserve">July 11, 2025, 14:00.</w:t>
      </w:r>
    </w:p>
    <w:p>
      <w:pPr>
        <w:spacing w:after="30" w:before="120"/>
      </w:pPr>
      <w:r>
        <w:rPr>
          <w:rFonts w:ascii="Arial" w:cs="Arial" w:eastAsia="Arial" w:hAnsi="Arial"/>
          <w:b/>
          <w:bCs/>
          <w:color w:val="000000"/>
          <w:sz w:val="21"/>
          <w:szCs w:val="21"/>
        </w:rPr>
        <w:t xml:space="preserve">Task 4 - Transition note completion</w:t>
      </w:r>
    </w:p>
    <w:p>
      <w:pPr>
        <w:spacing w:after="60"/>
      </w:pPr>
      <w:r>
        <w:rPr>
          <w:rFonts w:ascii="Arial" w:cs="Arial" w:eastAsia="Arial" w:hAnsi="Arial"/>
          <w:b/>
          <w:bCs/>
          <w:color w:val="000000"/>
          <w:sz w:val="21"/>
          <w:szCs w:val="21"/>
        </w:rPr>
        <w:t xml:space="preserve">Workflow: </w:t>
      </w:r>
      <w:r>
        <w:rPr>
          <w:rFonts w:ascii="Arial" w:cs="Arial" w:eastAsia="Arial" w:hAnsi="Arial"/>
          <w:color w:val="000000"/>
          <w:sz w:val="21"/>
          <w:szCs w:val="21"/>
        </w:rPr>
        <w:t xml:space="preserve">Medical Transcription and Clinical Documentation Completion (</w:t>
      </w:r>
      <w:r>
        <w:rPr>
          <w:rFonts w:ascii="Arial" w:cs="Arial" w:eastAsia="Arial" w:hAnsi="Arial"/>
          <w:color w:val="000000"/>
          <w:sz w:val="21"/>
          <w:szCs w:val="21"/>
        </w:rPr>
        <w:t xml:space="preserve">P0</w:t>
      </w:r>
      <w:r>
        <w:rPr>
          <w:rFonts w:ascii="Arial" w:cs="Arial" w:eastAsia="Arial" w:hAnsi="Arial"/>
          <w:color w:val="000000"/>
          <w:sz w:val="21"/>
          <w:szCs w:val="21"/>
        </w:rPr>
        <w:t xml:space="preserve">).</w:t>
      </w:r>
      <w:r>
        <w:rPr>
          <w:rFonts w:ascii="Arial" w:cs="Arial" w:eastAsia="Arial" w:hAnsi="Arial"/>
          <w:b/>
          <w:bCs/>
          <w:color w:val="000000"/>
          <w:sz w:val="21"/>
          <w:szCs w:val="21"/>
        </w:rPr>
        <w:t xml:space="preserve">  Requester: </w:t>
      </w:r>
      <w:r>
        <w:rPr>
          <w:rFonts w:ascii="Arial" w:cs="Arial" w:eastAsia="Arial" w:hAnsi="Arial"/>
          <w:color w:val="000000"/>
          <w:sz w:val="21"/>
          <w:szCs w:val="21"/>
        </w:rPr>
        <w:t xml:space="preserve">Discharging attending.</w:t>
      </w:r>
    </w:p>
    <w:p>
      <w:pPr>
        <w:spacing w:after="60"/>
      </w:pPr>
      <w:r>
        <w:rPr>
          <w:rFonts w:ascii="Arial" w:cs="Arial" w:eastAsia="Arial" w:hAnsi="Arial"/>
          <w:b/>
          <w:bCs/>
          <w:color w:val="000000"/>
          <w:sz w:val="21"/>
          <w:szCs w:val="21"/>
        </w:rPr>
        <w:t xml:space="preserve">Structure: </w:t>
      </w:r>
      <w:r>
        <w:rPr>
          <w:rFonts w:ascii="Arial" w:cs="Arial" w:eastAsia="Arial" w:hAnsi="Arial"/>
          <w:color w:val="000000"/>
          <w:sz w:val="21"/>
          <w:szCs w:val="21"/>
        </w:rPr>
        <w:t xml:space="preserve">Completion (the single completion task); finish open sections without falsely closing readiness.</w:t>
      </w:r>
    </w:p>
    <w:p>
      <w:pPr>
        <w:spacing w:after="60"/>
      </w:pPr>
      <w:r>
        <w:rPr>
          <w:rFonts w:ascii="Arial" w:cs="Arial" w:eastAsia="Arial" w:hAnsi="Arial"/>
          <w:b/>
          <w:bCs/>
          <w:color w:val="000000"/>
          <w:sz w:val="21"/>
          <w:szCs w:val="21"/>
        </w:rPr>
        <w:t xml:space="preserve">Draws on: </w:t>
      </w:r>
      <w:r>
        <w:rPr>
          <w:rFonts w:ascii="Arial" w:cs="Arial" w:eastAsia="Arial" w:hAnsi="Arial"/>
          <w:color w:val="000000"/>
          <w:sz w:val="21"/>
          <w:szCs w:val="21"/>
        </w:rPr>
        <w:t xml:space="preserve">Volume-status and respiratory-control traps: a started note leaves oxygen, volume, and follow-up ownership open against a reassuring draft tone.</w:t>
      </w:r>
    </w:p>
    <w:p>
      <w:pPr>
        <w:spacing w:after="60"/>
      </w:pPr>
      <w:r>
        <w:rPr>
          <w:rFonts w:ascii="Arial" w:cs="Arial" w:eastAsia="Arial" w:hAnsi="Arial"/>
          <w:b/>
          <w:bCs/>
          <w:color w:val="000000"/>
          <w:sz w:val="21"/>
          <w:szCs w:val="21"/>
        </w:rPr>
        <w:t xml:space="preserve">Anchor: </w:t>
      </w:r>
      <w:r>
        <w:rPr>
          <w:rFonts w:ascii="Arial" w:cs="Arial" w:eastAsia="Arial" w:hAnsi="Arial"/>
          <w:color w:val="000000"/>
          <w:sz w:val="21"/>
          <w:szCs w:val="21"/>
        </w:rPr>
        <w:t xml:space="preserve">July 12, 2025, 08:30.</w:t>
      </w:r>
    </w:p>
    <w:p>
      <w:pPr>
        <w:spacing w:after="30" w:before="120"/>
      </w:pPr>
      <w:r>
        <w:rPr>
          <w:rFonts w:ascii="Arial" w:cs="Arial" w:eastAsia="Arial" w:hAnsi="Arial"/>
          <w:b/>
          <w:bCs/>
          <w:color w:val="000000"/>
          <w:sz w:val="21"/>
          <w:szCs w:val="21"/>
        </w:rPr>
        <w:t xml:space="preserve">Task 5 - Post-acute coordination plan</w:t>
      </w:r>
    </w:p>
    <w:p>
      <w:pPr>
        <w:spacing w:after="60"/>
      </w:pPr>
      <w:r>
        <w:rPr>
          <w:rFonts w:ascii="Arial" w:cs="Arial" w:eastAsia="Arial" w:hAnsi="Arial"/>
          <w:b/>
          <w:bCs/>
          <w:color w:val="000000"/>
          <w:sz w:val="21"/>
          <w:szCs w:val="21"/>
        </w:rPr>
        <w:t xml:space="preserve">Workflow: </w:t>
      </w:r>
      <w:r>
        <w:rPr>
          <w:rFonts w:ascii="Arial" w:cs="Arial" w:eastAsia="Arial" w:hAnsi="Arial"/>
          <w:color w:val="000000"/>
          <w:sz w:val="21"/>
          <w:szCs w:val="21"/>
        </w:rPr>
        <w:t xml:space="preserve">Post-Acute Care Coordination Documentation (</w:t>
      </w:r>
      <w:r>
        <w:rPr>
          <w:rFonts w:ascii="Arial" w:cs="Arial" w:eastAsia="Arial" w:hAnsi="Arial"/>
          <w:color w:val="000000"/>
          <w:sz w:val="21"/>
          <w:szCs w:val="21"/>
        </w:rPr>
        <w:t xml:space="preserve">P0</w:t>
      </w:r>
      <w:r>
        <w:rPr>
          <w:rFonts w:ascii="Arial" w:cs="Arial" w:eastAsia="Arial" w:hAnsi="Arial"/>
          <w:color w:val="000000"/>
          <w:sz w:val="21"/>
          <w:szCs w:val="21"/>
        </w:rPr>
        <w:t xml:space="preserve">).</w:t>
      </w:r>
      <w:r>
        <w:rPr>
          <w:rFonts w:ascii="Arial" w:cs="Arial" w:eastAsia="Arial" w:hAnsi="Arial"/>
          <w:b/>
          <w:bCs/>
          <w:color w:val="000000"/>
          <w:sz w:val="21"/>
          <w:szCs w:val="21"/>
        </w:rPr>
        <w:t xml:space="preserve">  Requester: </w:t>
      </w:r>
      <w:r>
        <w:rPr>
          <w:rFonts w:ascii="Arial" w:cs="Arial" w:eastAsia="Arial" w:hAnsi="Arial"/>
          <w:color w:val="000000"/>
          <w:sz w:val="21"/>
          <w:szCs w:val="21"/>
        </w:rPr>
        <w:t xml:space="preserve">Case manager.</w:t>
      </w:r>
    </w:p>
    <w:p>
      <w:pPr>
        <w:spacing w:after="60"/>
      </w:pPr>
      <w:r>
        <w:rPr>
          <w:rFonts w:ascii="Arial" w:cs="Arial" w:eastAsia="Arial" w:hAnsi="Arial"/>
          <w:b/>
          <w:bCs/>
          <w:color w:val="000000"/>
          <w:sz w:val="21"/>
          <w:szCs w:val="21"/>
        </w:rPr>
        <w:t xml:space="preserve">Structure: </w:t>
      </w:r>
      <w:r>
        <w:rPr>
          <w:rFonts w:ascii="Arial" w:cs="Arial" w:eastAsia="Arial" w:hAnsi="Arial"/>
          <w:color w:val="000000"/>
          <w:sz w:val="21"/>
          <w:szCs w:val="21"/>
        </w:rPr>
        <w:t xml:space="preserve">Coordination synthesis; assign owner, status, and next action for each transition item.</w:t>
      </w:r>
    </w:p>
    <w:p>
      <w:pPr>
        <w:spacing w:after="60"/>
      </w:pPr>
      <w:r>
        <w:rPr>
          <w:rFonts w:ascii="Arial" w:cs="Arial" w:eastAsia="Arial" w:hAnsi="Arial"/>
          <w:b/>
          <w:bCs/>
          <w:color w:val="000000"/>
          <w:sz w:val="21"/>
          <w:szCs w:val="21"/>
        </w:rPr>
        <w:t xml:space="preserve">Draws on: </w:t>
      </w:r>
      <w:r>
        <w:rPr>
          <w:rFonts w:ascii="Arial" w:cs="Arial" w:eastAsia="Arial" w:hAnsi="Arial"/>
          <w:color w:val="000000"/>
          <w:sz w:val="21"/>
          <w:szCs w:val="21"/>
        </w:rPr>
        <w:t xml:space="preserve">DME-arranged-vs-delivered and home-support traps: case-management prose says DME arranged while vendor status leaves portable oxygen unresolved.</w:t>
      </w:r>
    </w:p>
    <w:p>
      <w:pPr>
        <w:spacing w:after="60"/>
      </w:pPr>
      <w:r>
        <w:rPr>
          <w:rFonts w:ascii="Arial" w:cs="Arial" w:eastAsia="Arial" w:hAnsi="Arial"/>
          <w:b/>
          <w:bCs/>
          <w:color w:val="000000"/>
          <w:sz w:val="21"/>
          <w:szCs w:val="21"/>
        </w:rPr>
        <w:t xml:space="preserve">Anchor: </w:t>
      </w:r>
      <w:r>
        <w:rPr>
          <w:rFonts w:ascii="Arial" w:cs="Arial" w:eastAsia="Arial" w:hAnsi="Arial"/>
          <w:color w:val="000000"/>
          <w:sz w:val="21"/>
          <w:szCs w:val="21"/>
        </w:rPr>
        <w:t xml:space="preserve">July 12, 2025, 13:00.</w:t>
      </w:r>
    </w:p>
    <w:p>
      <w:pPr>
        <w:spacing w:after="30" w:before="120"/>
      </w:pPr>
      <w:r>
        <w:rPr>
          <w:rFonts w:ascii="Arial" w:cs="Arial" w:eastAsia="Arial" w:hAnsi="Arial"/>
          <w:b/>
          <w:bCs/>
          <w:color w:val="000000"/>
          <w:sz w:val="21"/>
          <w:szCs w:val="21"/>
        </w:rPr>
        <w:t xml:space="preserve">Task 6 - Cardiorenal follow-up letter</w:t>
      </w:r>
    </w:p>
    <w:p>
      <w:pPr>
        <w:spacing w:after="60"/>
      </w:pPr>
      <w:r>
        <w:rPr>
          <w:rFonts w:ascii="Arial" w:cs="Arial" w:eastAsia="Arial" w:hAnsi="Arial"/>
          <w:b/>
          <w:bCs/>
          <w:color w:val="000000"/>
          <w:sz w:val="21"/>
          <w:szCs w:val="21"/>
        </w:rPr>
        <w:t xml:space="preserve">Workflow: </w:t>
      </w:r>
      <w:r>
        <w:rPr>
          <w:rFonts w:ascii="Arial" w:cs="Arial" w:eastAsia="Arial" w:hAnsi="Arial"/>
          <w:color w:val="000000"/>
          <w:sz w:val="21"/>
          <w:szCs w:val="21"/>
        </w:rPr>
        <w:t xml:space="preserve">Specialty Consultation Note (</w:t>
      </w:r>
      <w:r>
        <w:rPr>
          <w:rFonts w:ascii="Arial" w:cs="Arial" w:eastAsia="Arial" w:hAnsi="Arial"/>
          <w:color w:val="000000"/>
          <w:sz w:val="21"/>
          <w:szCs w:val="21"/>
        </w:rPr>
        <w:t xml:space="preserve">P1</w:t>
      </w:r>
      <w:r>
        <w:rPr>
          <w:rFonts w:ascii="Arial" w:cs="Arial" w:eastAsia="Arial" w:hAnsi="Arial"/>
          <w:color w:val="000000"/>
          <w:sz w:val="21"/>
          <w:szCs w:val="21"/>
        </w:rPr>
        <w:t xml:space="preserve">).</w:t>
      </w:r>
      <w:r>
        <w:rPr>
          <w:rFonts w:ascii="Arial" w:cs="Arial" w:eastAsia="Arial" w:hAnsi="Arial"/>
          <w:b/>
          <w:bCs/>
          <w:color w:val="000000"/>
          <w:sz w:val="21"/>
          <w:szCs w:val="21"/>
        </w:rPr>
        <w:t xml:space="preserve">  Requester: </w:t>
      </w:r>
      <w:r>
        <w:rPr>
          <w:rFonts w:ascii="Arial" w:cs="Arial" w:eastAsia="Arial" w:hAnsi="Arial"/>
          <w:color w:val="000000"/>
          <w:sz w:val="21"/>
          <w:szCs w:val="21"/>
        </w:rPr>
        <w:t xml:space="preserve">Hospitalist attending.</w:t>
      </w:r>
    </w:p>
    <w:p>
      <w:pPr>
        <w:spacing w:after="60"/>
      </w:pPr>
      <w:r>
        <w:rPr>
          <w:rFonts w:ascii="Arial" w:cs="Arial" w:eastAsia="Arial" w:hAnsi="Arial"/>
          <w:b/>
          <w:bCs/>
          <w:color w:val="000000"/>
          <w:sz w:val="21"/>
          <w:szCs w:val="21"/>
        </w:rPr>
        <w:t xml:space="preserve">Structure: </w:t>
      </w:r>
      <w:r>
        <w:rPr>
          <w:rFonts w:ascii="Arial" w:cs="Arial" w:eastAsia="Arial" w:hAnsi="Arial"/>
          <w:color w:val="000000"/>
          <w:sz w:val="21"/>
          <w:szCs w:val="21"/>
        </w:rPr>
        <w:t xml:space="preserve">Specialist handoff (specialist referral letter); route diuretic, renal labs, potassium, anticoagulation, and restart decisions to the correct owner.</w:t>
      </w:r>
    </w:p>
    <w:p>
      <w:pPr>
        <w:spacing w:after="60"/>
      </w:pPr>
      <w:r>
        <w:rPr>
          <w:rFonts w:ascii="Arial" w:cs="Arial" w:eastAsia="Arial" w:hAnsi="Arial"/>
          <w:b/>
          <w:bCs/>
          <w:color w:val="000000"/>
          <w:sz w:val="21"/>
          <w:szCs w:val="21"/>
        </w:rPr>
        <w:t xml:space="preserve">Draws on: </w:t>
      </w:r>
      <w:r>
        <w:rPr>
          <w:rFonts w:ascii="Arial" w:cs="Arial" w:eastAsia="Arial" w:hAnsi="Arial"/>
          <w:color w:val="000000"/>
          <w:sz w:val="21"/>
          <w:szCs w:val="21"/>
        </w:rPr>
        <w:t xml:space="preserve">Medication-readiness and volume traps: the follow-up draft makes the plan sound settled while renal and volume decisions remain conditional.</w:t>
      </w:r>
    </w:p>
    <w:p>
      <w:pPr>
        <w:spacing w:after="60"/>
      </w:pPr>
      <w:r>
        <w:rPr>
          <w:rFonts w:ascii="Arial" w:cs="Arial" w:eastAsia="Arial" w:hAnsi="Arial"/>
          <w:b/>
          <w:bCs/>
          <w:color w:val="000000"/>
          <w:sz w:val="21"/>
          <w:szCs w:val="21"/>
        </w:rPr>
        <w:t xml:space="preserve">Anchor: </w:t>
      </w:r>
      <w:r>
        <w:rPr>
          <w:rFonts w:ascii="Arial" w:cs="Arial" w:eastAsia="Arial" w:hAnsi="Arial"/>
          <w:color w:val="000000"/>
          <w:sz w:val="21"/>
          <w:szCs w:val="21"/>
        </w:rPr>
        <w:t xml:space="preserve">July 13, 2025, 11:00.</w:t>
      </w:r>
    </w:p>
    <w:p>
      <w:pPr>
        <w:spacing w:after="30" w:before="120"/>
      </w:pPr>
      <w:r>
        <w:rPr>
          <w:rFonts w:ascii="Arial" w:cs="Arial" w:eastAsia="Arial" w:hAnsi="Arial"/>
          <w:b/>
          <w:bCs/>
          <w:color w:val="000000"/>
          <w:sz w:val="21"/>
          <w:szCs w:val="21"/>
        </w:rPr>
        <w:t xml:space="preserve">Task 7 - Home health vs SNF appeal</w:t>
      </w:r>
    </w:p>
    <w:p>
      <w:pPr>
        <w:spacing w:after="60"/>
      </w:pPr>
      <w:r>
        <w:rPr>
          <w:rFonts w:ascii="Arial" w:cs="Arial" w:eastAsia="Arial" w:hAnsi="Arial"/>
          <w:b/>
          <w:bCs/>
          <w:color w:val="000000"/>
          <w:sz w:val="21"/>
          <w:szCs w:val="21"/>
        </w:rPr>
        <w:t xml:space="preserve">Workflow: </w:t>
      </w:r>
      <w:r>
        <w:rPr>
          <w:rFonts w:ascii="Arial" w:cs="Arial" w:eastAsia="Arial" w:hAnsi="Arial"/>
          <w:color w:val="000000"/>
          <w:sz w:val="21"/>
          <w:szCs w:val="21"/>
        </w:rPr>
        <w:t xml:space="preserve">Claims Denial Analysis and Appeal Preparation (</w:t>
      </w:r>
      <w:r>
        <w:rPr>
          <w:rFonts w:ascii="Arial" w:cs="Arial" w:eastAsia="Arial" w:hAnsi="Arial"/>
          <w:color w:val="000000"/>
          <w:sz w:val="21"/>
          <w:szCs w:val="21"/>
        </w:rPr>
        <w:t xml:space="preserve">P0</w:t>
      </w:r>
      <w:r>
        <w:rPr>
          <w:rFonts w:ascii="Arial" w:cs="Arial" w:eastAsia="Arial" w:hAnsi="Arial"/>
          <w:color w:val="000000"/>
          <w:sz w:val="21"/>
          <w:szCs w:val="21"/>
        </w:rPr>
        <w:t xml:space="preserve">).</w:t>
      </w:r>
      <w:r>
        <w:rPr>
          <w:rFonts w:ascii="Arial" w:cs="Arial" w:eastAsia="Arial" w:hAnsi="Arial"/>
          <w:b/>
          <w:bCs/>
          <w:color w:val="000000"/>
          <w:sz w:val="21"/>
          <w:szCs w:val="21"/>
        </w:rPr>
        <w:t xml:space="preserve">  Requester: </w:t>
      </w:r>
      <w:r>
        <w:rPr>
          <w:rFonts w:ascii="Arial" w:cs="Arial" w:eastAsia="Arial" w:hAnsi="Arial"/>
          <w:color w:val="000000"/>
          <w:sz w:val="21"/>
          <w:szCs w:val="21"/>
        </w:rPr>
        <w:t xml:space="preserve">Hospitalist attending, for utilization management.</w:t>
      </w:r>
    </w:p>
    <w:p>
      <w:pPr>
        <w:spacing w:after="60"/>
      </w:pPr>
      <w:r>
        <w:rPr>
          <w:rFonts w:ascii="Arial" w:cs="Arial" w:eastAsia="Arial" w:hAnsi="Arial"/>
          <w:b/>
          <w:bCs/>
          <w:color w:val="000000"/>
          <w:sz w:val="21"/>
          <w:szCs w:val="21"/>
        </w:rPr>
        <w:t xml:space="preserve">Structure: </w:t>
      </w:r>
      <w:r>
        <w:rPr>
          <w:rFonts w:ascii="Arial" w:cs="Arial" w:eastAsia="Arial" w:hAnsi="Arial"/>
          <w:color w:val="000000"/>
          <w:sz w:val="21"/>
          <w:szCs w:val="21"/>
        </w:rPr>
        <w:t xml:space="preserve">External position review; support skilled need or accept the home-health pathway.</w:t>
      </w:r>
    </w:p>
    <w:p>
      <w:pPr>
        <w:spacing w:after="60"/>
      </w:pPr>
      <w:r>
        <w:rPr>
          <w:rFonts w:ascii="Arial" w:cs="Arial" w:eastAsia="Arial" w:hAnsi="Arial"/>
          <w:b/>
          <w:bCs/>
          <w:color w:val="000000"/>
          <w:sz w:val="21"/>
          <w:szCs w:val="21"/>
        </w:rPr>
        <w:t xml:space="preserve">Draws on: </w:t>
      </w:r>
      <w:r>
        <w:rPr>
          <w:rFonts w:ascii="Arial" w:cs="Arial" w:eastAsia="Arial" w:hAnsi="Arial"/>
          <w:color w:val="000000"/>
          <w:sz w:val="21"/>
          <w:szCs w:val="21"/>
        </w:rPr>
        <w:t xml:space="preserve">Home-support and exertional-oxygen traps: the denial treats home health as sufficient despite stairs, oxygen burden, functional limits, and medication complexity.</w:t>
      </w:r>
    </w:p>
    <w:p>
      <w:pPr>
        <w:spacing w:after="60"/>
      </w:pPr>
      <w:r>
        <w:rPr>
          <w:rFonts w:ascii="Arial" w:cs="Arial" w:eastAsia="Arial" w:hAnsi="Arial"/>
          <w:b/>
          <w:bCs/>
          <w:color w:val="000000"/>
          <w:sz w:val="21"/>
          <w:szCs w:val="21"/>
        </w:rPr>
        <w:t xml:space="preserve">Anchor: </w:t>
      </w:r>
      <w:r>
        <w:rPr>
          <w:rFonts w:ascii="Arial" w:cs="Arial" w:eastAsia="Arial" w:hAnsi="Arial"/>
          <w:color w:val="000000"/>
          <w:sz w:val="21"/>
          <w:szCs w:val="21"/>
        </w:rPr>
        <w:t xml:space="preserve">July 15, 2025, 10:00.</w:t>
      </w:r>
    </w:p>
    <w:p>
      <w:pPr>
        <w:spacing w:after="30" w:before="120"/>
      </w:pPr>
      <w:r>
        <w:rPr>
          <w:rFonts w:ascii="Arial" w:cs="Arial" w:eastAsia="Arial" w:hAnsi="Arial"/>
          <w:b/>
          <w:bCs/>
          <w:color w:val="000000"/>
          <w:sz w:val="21"/>
          <w:szCs w:val="21"/>
        </w:rPr>
        <w:t xml:space="preserve">Task 8 - Safety review after bounceback</w:t>
      </w:r>
    </w:p>
    <w:p>
      <w:pPr>
        <w:spacing w:after="60"/>
      </w:pPr>
      <w:r>
        <w:rPr>
          <w:rFonts w:ascii="Arial" w:cs="Arial" w:eastAsia="Arial" w:hAnsi="Arial"/>
          <w:b/>
          <w:bCs/>
          <w:color w:val="000000"/>
          <w:sz w:val="21"/>
          <w:szCs w:val="21"/>
        </w:rPr>
        <w:t xml:space="preserve">Workflow: </w:t>
      </w:r>
      <w:r>
        <w:rPr>
          <w:rFonts w:ascii="Arial" w:cs="Arial" w:eastAsia="Arial" w:hAnsi="Arial"/>
          <w:color w:val="000000"/>
          <w:sz w:val="21"/>
          <w:szCs w:val="21"/>
        </w:rPr>
        <w:t xml:space="preserve">Corrective Action Plan (CAP) Development and Tracking (</w:t>
      </w:r>
      <w:r>
        <w:rPr>
          <w:rFonts w:ascii="Arial" w:cs="Arial" w:eastAsia="Arial" w:hAnsi="Arial"/>
          <w:color w:val="000000"/>
          <w:sz w:val="21"/>
          <w:szCs w:val="21"/>
        </w:rPr>
        <w:t xml:space="preserve">P1</w:t>
      </w:r>
      <w:r>
        <w:rPr>
          <w:rFonts w:ascii="Arial" w:cs="Arial" w:eastAsia="Arial" w:hAnsi="Arial"/>
          <w:color w:val="000000"/>
          <w:sz w:val="21"/>
          <w:szCs w:val="21"/>
        </w:rPr>
        <w:t xml:space="preserve">).</w:t>
      </w:r>
      <w:r>
        <w:rPr>
          <w:rFonts w:ascii="Arial" w:cs="Arial" w:eastAsia="Arial" w:hAnsi="Arial"/>
          <w:b/>
          <w:bCs/>
          <w:color w:val="000000"/>
          <w:sz w:val="21"/>
          <w:szCs w:val="21"/>
        </w:rPr>
        <w:t xml:space="preserve">  Requester: </w:t>
      </w:r>
      <w:r>
        <w:rPr>
          <w:rFonts w:ascii="Arial" w:cs="Arial" w:eastAsia="Arial" w:hAnsi="Arial"/>
          <w:color w:val="000000"/>
          <w:sz w:val="21"/>
          <w:szCs w:val="21"/>
        </w:rPr>
        <w:t xml:space="preserve">Patient safety officer.</w:t>
      </w:r>
    </w:p>
    <w:p>
      <w:pPr>
        <w:spacing w:after="60"/>
      </w:pPr>
      <w:r>
        <w:rPr>
          <w:rFonts w:ascii="Arial" w:cs="Arial" w:eastAsia="Arial" w:hAnsi="Arial"/>
          <w:b/>
          <w:bCs/>
          <w:color w:val="000000"/>
          <w:sz w:val="21"/>
          <w:szCs w:val="21"/>
        </w:rPr>
        <w:t xml:space="preserve">Structure: </w:t>
      </w:r>
      <w:r>
        <w:rPr>
          <w:rFonts w:ascii="Arial" w:cs="Arial" w:eastAsia="Arial" w:hAnsi="Arial"/>
          <w:color w:val="000000"/>
          <w:sz w:val="21"/>
          <w:szCs w:val="21"/>
        </w:rPr>
        <w:t xml:space="preserve">Investigation; identify likely cause and prevention steps.</w:t>
      </w:r>
    </w:p>
    <w:p>
      <w:pPr>
        <w:spacing w:after="60"/>
      </w:pPr>
      <w:r>
        <w:rPr>
          <w:rFonts w:ascii="Arial" w:cs="Arial" w:eastAsia="Arial" w:hAnsi="Arial"/>
          <w:b/>
          <w:bCs/>
          <w:color w:val="000000"/>
          <w:sz w:val="21"/>
          <w:szCs w:val="21"/>
        </w:rPr>
        <w:t xml:space="preserve">Draws on: </w:t>
      </w:r>
      <w:r>
        <w:rPr>
          <w:rFonts w:ascii="Arial" w:cs="Arial" w:eastAsia="Arial" w:hAnsi="Arial"/>
          <w:color w:val="000000"/>
          <w:sz w:val="21"/>
          <w:szCs w:val="21"/>
        </w:rPr>
        <w:t xml:space="preserve">Readmission-attribution and DME-delivery traps: the initial event note blames nonadherence while the record supports equipment or handoff failure.</w:t>
      </w:r>
    </w:p>
    <w:p>
      <w:pPr>
        <w:spacing w:after="60"/>
      </w:pPr>
      <w:r>
        <w:rPr>
          <w:rFonts w:ascii="Arial" w:cs="Arial" w:eastAsia="Arial" w:hAnsi="Arial"/>
          <w:b/>
          <w:bCs/>
          <w:color w:val="000000"/>
          <w:sz w:val="21"/>
          <w:szCs w:val="21"/>
        </w:rPr>
        <w:t xml:space="preserve">Anchor: </w:t>
      </w:r>
      <w:r>
        <w:rPr>
          <w:rFonts w:ascii="Arial" w:cs="Arial" w:eastAsia="Arial" w:hAnsi="Arial"/>
          <w:color w:val="000000"/>
          <w:sz w:val="21"/>
          <w:szCs w:val="21"/>
        </w:rPr>
        <w:t xml:space="preserve">July 16, 2025, 09:00.</w:t>
      </w:r>
    </w:p>
    <w:p>
      <w:pPr>
        <w:spacing w:after="30" w:before="120"/>
      </w:pPr>
      <w:r>
        <w:rPr>
          <w:rFonts w:ascii="Arial" w:cs="Arial" w:eastAsia="Arial" w:hAnsi="Arial"/>
          <w:b/>
          <w:bCs/>
          <w:color w:val="000000"/>
          <w:sz w:val="21"/>
          <w:szCs w:val="21"/>
        </w:rPr>
        <w:t xml:space="preserve">Task 9 - Heart-failure transition quality abstraction</w:t>
      </w:r>
    </w:p>
    <w:p>
      <w:pPr>
        <w:spacing w:after="60"/>
      </w:pPr>
      <w:r>
        <w:rPr>
          <w:rFonts w:ascii="Arial" w:cs="Arial" w:eastAsia="Arial" w:hAnsi="Arial"/>
          <w:b/>
          <w:bCs/>
          <w:color w:val="000000"/>
          <w:sz w:val="21"/>
          <w:szCs w:val="21"/>
        </w:rPr>
        <w:t xml:space="preserve">Workflow: </w:t>
      </w:r>
      <w:r>
        <w:rPr>
          <w:rFonts w:ascii="Arial" w:cs="Arial" w:eastAsia="Arial" w:hAnsi="Arial"/>
          <w:color w:val="000000"/>
          <w:sz w:val="21"/>
          <w:szCs w:val="21"/>
        </w:rPr>
        <w:t xml:space="preserve">HEDIS Medical Record Chart Abstraction and Review (</w:t>
      </w:r>
      <w:r>
        <w:rPr>
          <w:rFonts w:ascii="Arial" w:cs="Arial" w:eastAsia="Arial" w:hAnsi="Arial"/>
          <w:color w:val="000000"/>
          <w:sz w:val="21"/>
          <w:szCs w:val="21"/>
        </w:rPr>
        <w:t xml:space="preserve">P0</w:t>
      </w:r>
      <w:r>
        <w:rPr>
          <w:rFonts w:ascii="Arial" w:cs="Arial" w:eastAsia="Arial" w:hAnsi="Arial"/>
          <w:color w:val="000000"/>
          <w:sz w:val="21"/>
          <w:szCs w:val="21"/>
        </w:rPr>
        <w:t xml:space="preserve">).</w:t>
      </w:r>
      <w:r>
        <w:rPr>
          <w:rFonts w:ascii="Arial" w:cs="Arial" w:eastAsia="Arial" w:hAnsi="Arial"/>
          <w:b/>
          <w:bCs/>
          <w:color w:val="000000"/>
          <w:sz w:val="21"/>
          <w:szCs w:val="21"/>
        </w:rPr>
        <w:t xml:space="preserve">  Requester: </w:t>
      </w:r>
      <w:r>
        <w:rPr>
          <w:rFonts w:ascii="Arial" w:cs="Arial" w:eastAsia="Arial" w:hAnsi="Arial"/>
          <w:color w:val="000000"/>
          <w:sz w:val="21"/>
          <w:szCs w:val="21"/>
        </w:rPr>
        <w:t xml:space="preserve">Quality abstraction nurse.</w:t>
      </w:r>
    </w:p>
    <w:p>
      <w:pPr>
        <w:spacing w:after="60"/>
      </w:pPr>
      <w:r>
        <w:rPr>
          <w:rFonts w:ascii="Arial" w:cs="Arial" w:eastAsia="Arial" w:hAnsi="Arial"/>
          <w:b/>
          <w:bCs/>
          <w:color w:val="000000"/>
          <w:sz w:val="21"/>
          <w:szCs w:val="21"/>
        </w:rPr>
        <w:t xml:space="preserve">Structure: </w:t>
      </w:r>
      <w:r>
        <w:rPr>
          <w:rFonts w:ascii="Arial" w:cs="Arial" w:eastAsia="Arial" w:hAnsi="Arial"/>
          <w:color w:val="000000"/>
          <w:sz w:val="21"/>
          <w:szCs w:val="21"/>
        </w:rPr>
        <w:t xml:space="preserve">Extraction to schema; record documented value, exclusion, or unable-to-determine per field.</w:t>
      </w:r>
    </w:p>
    <w:p>
      <w:pPr>
        <w:spacing w:after="60"/>
      </w:pPr>
      <w:r>
        <w:rPr>
          <w:rFonts w:ascii="Arial" w:cs="Arial" w:eastAsia="Arial" w:hAnsi="Arial"/>
          <w:b/>
          <w:bCs/>
          <w:color w:val="000000"/>
          <w:sz w:val="21"/>
          <w:szCs w:val="21"/>
        </w:rPr>
        <w:t xml:space="preserve">Draws on: </w:t>
      </w:r>
      <w:r>
        <w:rPr>
          <w:rFonts w:ascii="Arial" w:cs="Arial" w:eastAsia="Arial" w:hAnsi="Arial"/>
          <w:color w:val="000000"/>
          <w:sz w:val="21"/>
          <w:szCs w:val="21"/>
        </w:rPr>
        <w:t xml:space="preserve">Resting-vs-exertional-oxygen and respiratory-control traps: the abstractor worksheet rewards a clean transition although oxygen or follow-up evidence is incomplete.</w:t>
      </w:r>
    </w:p>
    <w:p>
      <w:pPr>
        <w:spacing w:after="60"/>
      </w:pPr>
      <w:r>
        <w:rPr>
          <w:rFonts w:ascii="Arial" w:cs="Arial" w:eastAsia="Arial" w:hAnsi="Arial"/>
          <w:b/>
          <w:bCs/>
          <w:color w:val="000000"/>
          <w:sz w:val="21"/>
          <w:szCs w:val="21"/>
        </w:rPr>
        <w:t xml:space="preserve">Anchor: </w:t>
      </w:r>
      <w:r>
        <w:rPr>
          <w:rFonts w:ascii="Arial" w:cs="Arial" w:eastAsia="Arial" w:hAnsi="Arial"/>
          <w:color w:val="000000"/>
          <w:sz w:val="21"/>
          <w:szCs w:val="21"/>
        </w:rPr>
        <w:t xml:space="preserve">July 17, 2025, 09:00.</w:t>
      </w:r>
    </w:p>
    <w:p>
      <w:pPr>
        <w:spacing w:after="30" w:before="120"/>
      </w:pPr>
      <w:r>
        <w:rPr>
          <w:rFonts w:ascii="Arial" w:cs="Arial" w:eastAsia="Arial" w:hAnsi="Arial"/>
          <w:b/>
          <w:bCs/>
          <w:color w:val="000000"/>
          <w:sz w:val="21"/>
          <w:szCs w:val="21"/>
        </w:rPr>
        <w:t xml:space="preserve">Task 10 - Documentation query response</w:t>
      </w:r>
    </w:p>
    <w:p>
      <w:pPr>
        <w:spacing w:after="60"/>
      </w:pPr>
      <w:r>
        <w:rPr>
          <w:rFonts w:ascii="Arial" w:cs="Arial" w:eastAsia="Arial" w:hAnsi="Arial"/>
          <w:b/>
          <w:bCs/>
          <w:color w:val="000000"/>
          <w:sz w:val="21"/>
          <w:szCs w:val="21"/>
        </w:rPr>
        <w:t xml:space="preserve">Workflow: </w:t>
      </w:r>
      <w:r>
        <w:rPr>
          <w:rFonts w:ascii="Arial" w:cs="Arial" w:eastAsia="Arial" w:hAnsi="Arial"/>
          <w:color w:val="000000"/>
          <w:sz w:val="21"/>
          <w:szCs w:val="21"/>
        </w:rPr>
        <w:t xml:space="preserve">Clinical Documentation Improvement (CDI) Query Response Review (</w:t>
      </w:r>
      <w:r>
        <w:rPr>
          <w:rFonts w:ascii="Arial" w:cs="Arial" w:eastAsia="Arial" w:hAnsi="Arial"/>
          <w:color w:val="000000"/>
          <w:sz w:val="21"/>
          <w:szCs w:val="21"/>
        </w:rPr>
        <w:t xml:space="preserve">P1</w:t>
      </w:r>
      <w:r>
        <w:rPr>
          <w:rFonts w:ascii="Arial" w:cs="Arial" w:eastAsia="Arial" w:hAnsi="Arial"/>
          <w:color w:val="000000"/>
          <w:sz w:val="21"/>
          <w:szCs w:val="21"/>
        </w:rPr>
        <w:t xml:space="preserve">).</w:t>
      </w:r>
      <w:r>
        <w:rPr>
          <w:rFonts w:ascii="Arial" w:cs="Arial" w:eastAsia="Arial" w:hAnsi="Arial"/>
          <w:b/>
          <w:bCs/>
          <w:color w:val="000000"/>
          <w:sz w:val="21"/>
          <w:szCs w:val="21"/>
        </w:rPr>
        <w:t xml:space="preserve">  Requester: </w:t>
      </w:r>
      <w:r>
        <w:rPr>
          <w:rFonts w:ascii="Arial" w:cs="Arial" w:eastAsia="Arial" w:hAnsi="Arial"/>
          <w:color w:val="000000"/>
          <w:sz w:val="21"/>
          <w:szCs w:val="21"/>
        </w:rPr>
        <w:t xml:space="preserve">CDI specialist.</w:t>
      </w:r>
    </w:p>
    <w:p>
      <w:pPr>
        <w:spacing w:after="60"/>
      </w:pPr>
      <w:r>
        <w:rPr>
          <w:rFonts w:ascii="Arial" w:cs="Arial" w:eastAsia="Arial" w:hAnsi="Arial"/>
          <w:b/>
          <w:bCs/>
          <w:color w:val="000000"/>
          <w:sz w:val="21"/>
          <w:szCs w:val="21"/>
        </w:rPr>
        <w:t xml:space="preserve">Structure: </w:t>
      </w:r>
      <w:r>
        <w:rPr>
          <w:rFonts w:ascii="Arial" w:cs="Arial" w:eastAsia="Arial" w:hAnsi="Arial"/>
          <w:color w:val="000000"/>
          <w:sz w:val="21"/>
          <w:szCs w:val="21"/>
        </w:rPr>
        <w:t xml:space="preserve">Query response; agree, decline, or clarify supported specificity.</w:t>
      </w:r>
    </w:p>
    <w:p>
      <w:pPr>
        <w:spacing w:after="60"/>
      </w:pPr>
      <w:r>
        <w:rPr>
          <w:rFonts w:ascii="Arial" w:cs="Arial" w:eastAsia="Arial" w:hAnsi="Arial"/>
          <w:b/>
          <w:bCs/>
          <w:color w:val="000000"/>
          <w:sz w:val="21"/>
          <w:szCs w:val="21"/>
        </w:rPr>
        <w:t xml:space="preserve">Draws on: </w:t>
      </w:r>
      <w:r>
        <w:rPr>
          <w:rFonts w:ascii="Arial" w:cs="Arial" w:eastAsia="Arial" w:hAnsi="Arial"/>
          <w:color w:val="000000"/>
          <w:sz w:val="21"/>
          <w:szCs w:val="21"/>
        </w:rPr>
        <w:t xml:space="preserve">Documentation-integrity trap: the query asks for over-specific acute respiratory failure or cardiorenal diagnosis language beyond the treating record.</w:t>
      </w:r>
    </w:p>
    <w:p>
      <w:pPr>
        <w:spacing w:after="60"/>
      </w:pPr>
      <w:r>
        <w:rPr>
          <w:rFonts w:ascii="Arial" w:cs="Arial" w:eastAsia="Arial" w:hAnsi="Arial"/>
          <w:b/>
          <w:bCs/>
          <w:color w:val="000000"/>
          <w:sz w:val="21"/>
          <w:szCs w:val="21"/>
        </w:rPr>
        <w:t xml:space="preserve">Anchor: </w:t>
      </w:r>
      <w:r>
        <w:rPr>
          <w:rFonts w:ascii="Arial" w:cs="Arial" w:eastAsia="Arial" w:hAnsi="Arial"/>
          <w:color w:val="000000"/>
          <w:sz w:val="21"/>
          <w:szCs w:val="21"/>
        </w:rPr>
        <w:t xml:space="preserve">July 17, 2025, 12:00.</w:t>
      </w:r>
    </w:p>
    <w:p>
      <w:pPr>
        <w:spacing w:after="0"/>
      </w:pPr>
      <w:r>
        <w:rPr>
          <w:rFonts w:ascii="Arial" w:cs="Arial" w:eastAsia="Arial" w:hAnsi="Arial"/>
          <w:color w:val="000000"/>
          <w:sz w:val="21"/>
          <w:szCs w:val="21"/>
        </w:rPr>
        <w:t xml:space="preserve">Structure spread: external position review (x2), forced inventory, determination, completion (x1), coordination synthesis, specialist handoff, investigation, extraction to schema, and query response. The shared chart stays raw, with no single summary that states the final readiness conclusion, so each later administrative, quality, referral, and safety task branches independently from the same approved snapshot and its own requester materials rather than from another task's output. Priority spread: six P0 (Tasks 1, 2, 4, 5, 7, 9) and four P1 (Tasks 3, 6, 8, 10), with at least one P0 present as required.</w:t>
      </w:r>
    </w:p>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2026-06-20T19:19:34.210Z</dcterms:created>
  <dcterms:modified xsi:type="dcterms:W3CDTF">2026-06-20T19:19:34.210Z</dcterms:modified>
</cp:coreProperties>
</file>

<file path=docProps/custom.xml><?xml version="1.0" encoding="utf-8"?>
<Properties xmlns="http://schemas.openxmlformats.org/officeDocument/2006/custom-properties" xmlns:vt="http://schemas.openxmlformats.org/officeDocument/2006/docPropsVTypes"/>
</file>