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r>
              <w:rPr>
                <w:b/>
                <w:color w:val="4472C4"/>
                <w:sz w:val="32"/>
              </w:rPr>
              <w:t>WORLD SPECIFICATION DOCUMENT. Limb-Threat Diabetic Foot Infection.</w:t>
            </w:r>
          </w:p>
          <w:p>
            <w:r>
              <w:rPr>
                <w:color w:val="666666"/>
                <w:sz w:val="20"/>
              </w:rPr>
              <w:t>World Title: Limb-Threat Diabetic Foot Infection. Patient: Ondina Vasquell. World Type: Typical Clinical World. Setting: inpatient hospital medicine. Snapshot: May 21, 2026 at 18:00. 10 Tasks. Project Sanctum. Version 1.0.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bl>
    <w:p>
      <w:pPr>
        <w:pStyle w:val="Heading2"/>
      </w:pPr>
      <w:r>
        <w:t>Home medication list (pre-admission baseline, with inpatient change)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Medication (dose, route, frequency)</w:t>
            </w:r>
          </w:p>
        </w:tc>
        <w:tc>
          <w:tcPr>
            <w:tcW w:type="dxa" w:w="3360"/>
            <w:shd w:val="clear" w:color="auto" w:fill="4472C4"/>
          </w:tcPr>
          <w:p>
            <w:r>
              <w:rPr>
                <w:b/>
                <w:color w:val="FFFFFF"/>
                <w:sz w:val="16"/>
              </w:rPr>
              <w:t>Indication</w:t>
            </w:r>
          </w:p>
        </w:tc>
        <w:tc>
          <w:tcPr>
            <w:tcW w:type="dxa" w:w="3360"/>
            <w:shd w:val="clear" w:color="auto" w:fill="4472C4"/>
          </w:tcPr>
          <w:p>
            <w:r>
              <w:rPr>
                <w:b/>
                <w:color w:val="FFFFFF"/>
                <w:sz w:val="16"/>
              </w:rPr>
              <w:t>Inpatient change</w:t>
            </w:r>
          </w:p>
        </w:tc>
      </w:tr>
      <w:tr>
        <w:tc>
          <w:tcPr>
            <w:tcW w:type="dxa" w:w="3360"/>
          </w:tcPr>
          <w:p>
            <w:r>
              <w:rPr>
                <w:color w:val="262B33"/>
                <w:sz w:val="16"/>
              </w:rPr>
              <w:t>Insulin glargine 26 units subcutaneous nightly</w:t>
            </w:r>
          </w:p>
        </w:tc>
        <w:tc>
          <w:tcPr>
            <w:tcW w:type="dxa" w:w="3360"/>
          </w:tcPr>
          <w:p>
            <w:r>
              <w:rPr>
                <w:color w:val="262B33"/>
                <w:sz w:val="16"/>
              </w:rPr>
              <w:t>Diabetes, basal</w:t>
            </w:r>
          </w:p>
        </w:tc>
        <w:tc>
          <w:tcPr>
            <w:tcW w:type="dxa" w:w="3360"/>
          </w:tcPr>
          <w:p>
            <w:r>
              <w:rPr>
                <w:color w:val="262B33"/>
                <w:sz w:val="16"/>
              </w:rPr>
              <w:t>Continued, intake-adjusted</w:t>
            </w:r>
          </w:p>
        </w:tc>
      </w:tr>
      <w:tr>
        <w:tc>
          <w:tcPr>
            <w:tcW w:type="dxa" w:w="3360"/>
          </w:tcPr>
          <w:p>
            <w:r>
              <w:rPr>
                <w:color w:val="262B33"/>
                <w:sz w:val="16"/>
              </w:rPr>
              <w:t>Insulin aspart sliding scale subcutaneous three times daily with meals</w:t>
            </w:r>
          </w:p>
        </w:tc>
        <w:tc>
          <w:tcPr>
            <w:tcW w:type="dxa" w:w="3360"/>
          </w:tcPr>
          <w:p>
            <w:r>
              <w:rPr>
                <w:color w:val="262B33"/>
                <w:sz w:val="16"/>
              </w:rPr>
              <w:t>Diabetes, prandial</w:t>
            </w:r>
          </w:p>
        </w:tc>
        <w:tc>
          <w:tcPr>
            <w:tcW w:type="dxa" w:w="3360"/>
          </w:tcPr>
          <w:p>
            <w:r>
              <w:rPr>
                <w:color w:val="262B33"/>
                <w:sz w:val="16"/>
              </w:rPr>
              <w:t>Continued per inpatient sliding scale</w:t>
            </w:r>
          </w:p>
        </w:tc>
      </w:tr>
      <w:tr>
        <w:tc>
          <w:tcPr>
            <w:tcW w:type="dxa" w:w="3360"/>
          </w:tcPr>
          <w:p>
            <w:r>
              <w:rPr>
                <w:color w:val="262B33"/>
                <w:sz w:val="16"/>
              </w:rPr>
              <w:t>Metformin 500 mg Oral twice daily</w:t>
            </w:r>
          </w:p>
        </w:tc>
        <w:tc>
          <w:tcPr>
            <w:tcW w:type="dxa" w:w="3360"/>
          </w:tcPr>
          <w:p>
            <w:r>
              <w:rPr>
                <w:color w:val="262B33"/>
                <w:sz w:val="16"/>
              </w:rPr>
              <w:t>Diabetes</w:t>
            </w:r>
          </w:p>
        </w:tc>
        <w:tc>
          <w:tcPr>
            <w:tcW w:type="dxa" w:w="3360"/>
          </w:tcPr>
          <w:p>
            <w:r>
              <w:rPr>
                <w:color w:val="262B33"/>
                <w:sz w:val="16"/>
              </w:rPr>
              <w:t>Held on admission, renal and acute-illness caution</w:t>
            </w:r>
          </w:p>
        </w:tc>
      </w:tr>
      <w:tr>
        <w:tc>
          <w:tcPr>
            <w:tcW w:type="dxa" w:w="3360"/>
          </w:tcPr>
          <w:p>
            <w:r>
              <w:rPr>
                <w:color w:val="262B33"/>
                <w:sz w:val="16"/>
              </w:rPr>
              <w:t>Empagliflozin 10 mg Oral daily</w:t>
            </w:r>
          </w:p>
        </w:tc>
        <w:tc>
          <w:tcPr>
            <w:tcW w:type="dxa" w:w="3360"/>
          </w:tcPr>
          <w:p>
            <w:r>
              <w:rPr>
                <w:color w:val="262B33"/>
                <w:sz w:val="16"/>
              </w:rPr>
              <w:t>Diabetes, HFpEF, CKD</w:t>
            </w:r>
          </w:p>
        </w:tc>
        <w:tc>
          <w:tcPr>
            <w:tcW w:type="dxa" w:w="3360"/>
          </w:tcPr>
          <w:p>
            <w:r>
              <w:rPr>
                <w:color w:val="262B33"/>
                <w:sz w:val="16"/>
              </w:rPr>
              <w:t>Held during acute infection</w:t>
            </w:r>
          </w:p>
        </w:tc>
      </w:tr>
      <w:tr>
        <w:tc>
          <w:tcPr>
            <w:tcW w:type="dxa" w:w="3360"/>
          </w:tcPr>
          <w:p>
            <w:r>
              <w:rPr>
                <w:color w:val="262B33"/>
                <w:sz w:val="16"/>
              </w:rPr>
              <w:t>Lisinopril 20 mg Oral daily</w:t>
            </w:r>
          </w:p>
        </w:tc>
        <w:tc>
          <w:tcPr>
            <w:tcW w:type="dxa" w:w="3360"/>
          </w:tcPr>
          <w:p>
            <w:r>
              <w:rPr>
                <w:color w:val="262B33"/>
                <w:sz w:val="16"/>
              </w:rPr>
              <w:t>Hypertension, CKD</w:t>
            </w:r>
          </w:p>
        </w:tc>
        <w:tc>
          <w:tcPr>
            <w:tcW w:type="dxa" w:w="3360"/>
          </w:tcPr>
          <w:p>
            <w:r>
              <w:rPr>
                <w:color w:val="262B33"/>
                <w:sz w:val="16"/>
              </w:rPr>
              <w:t>Held on admission for AKI risk</w:t>
            </w:r>
          </w:p>
        </w:tc>
      </w:tr>
      <w:tr>
        <w:tc>
          <w:tcPr>
            <w:tcW w:type="dxa" w:w="3360"/>
          </w:tcPr>
          <w:p>
            <w:r>
              <w:rPr>
                <w:color w:val="262B33"/>
                <w:sz w:val="16"/>
              </w:rPr>
              <w:t>Furosemide 20 mg Oral daily</w:t>
            </w:r>
          </w:p>
        </w:tc>
        <w:tc>
          <w:tcPr>
            <w:tcW w:type="dxa" w:w="3360"/>
          </w:tcPr>
          <w:p>
            <w:r>
              <w:rPr>
                <w:color w:val="262B33"/>
                <w:sz w:val="16"/>
              </w:rPr>
              <w:t>HFpEF volume</w:t>
            </w:r>
          </w:p>
        </w:tc>
        <w:tc>
          <w:tcPr>
            <w:tcW w:type="dxa" w:w="3360"/>
          </w:tcPr>
          <w:p>
            <w:r>
              <w:rPr>
                <w:color w:val="262B33"/>
                <w:sz w:val="16"/>
              </w:rPr>
              <w:t>Continued, volume-adjusted</w:t>
            </w:r>
          </w:p>
        </w:tc>
      </w:tr>
      <w:tr>
        <w:tc>
          <w:tcPr>
            <w:tcW w:type="dxa" w:w="3360"/>
          </w:tcPr>
          <w:p>
            <w:r>
              <w:rPr>
                <w:color w:val="262B33"/>
                <w:sz w:val="16"/>
              </w:rPr>
              <w:t>Atorvastatin 40 mg Oral nightly</w:t>
            </w:r>
          </w:p>
        </w:tc>
        <w:tc>
          <w:tcPr>
            <w:tcW w:type="dxa" w:w="3360"/>
          </w:tcPr>
          <w:p>
            <w:r>
              <w:rPr>
                <w:color w:val="262B33"/>
                <w:sz w:val="16"/>
              </w:rPr>
              <w:t>Dyslipidemia, PAD</w:t>
            </w:r>
          </w:p>
        </w:tc>
        <w:tc>
          <w:tcPr>
            <w:tcW w:type="dxa" w:w="3360"/>
          </w:tcPr>
          <w:p>
            <w:r>
              <w:rPr>
                <w:color w:val="262B33"/>
                <w:sz w:val="16"/>
              </w:rPr>
              <w:t>Continued</w:t>
            </w:r>
          </w:p>
        </w:tc>
      </w:tr>
      <w:tr>
        <w:tc>
          <w:tcPr>
            <w:tcW w:type="dxa" w:w="3360"/>
          </w:tcPr>
          <w:p>
            <w:r>
              <w:rPr>
                <w:color w:val="262B33"/>
                <w:sz w:val="16"/>
              </w:rPr>
              <w:t>Aspirin 81 mg Oral daily</w:t>
            </w:r>
          </w:p>
        </w:tc>
        <w:tc>
          <w:tcPr>
            <w:tcW w:type="dxa" w:w="3360"/>
          </w:tcPr>
          <w:p>
            <w:r>
              <w:rPr>
                <w:color w:val="262B33"/>
                <w:sz w:val="16"/>
              </w:rPr>
              <w:t>PAD, secondary prevention</w:t>
            </w:r>
          </w:p>
        </w:tc>
        <w:tc>
          <w:tcPr>
            <w:tcW w:type="dxa" w:w="3360"/>
          </w:tcPr>
          <w:p>
            <w:r>
              <w:rPr>
                <w:color w:val="262B33"/>
                <w:sz w:val="16"/>
              </w:rPr>
              <w:t>Continued</w:t>
            </w:r>
          </w:p>
        </w:tc>
      </w:tr>
      <w:tr>
        <w:tc>
          <w:tcPr>
            <w:tcW w:type="dxa" w:w="3360"/>
          </w:tcPr>
          <w:p>
            <w:r>
              <w:rPr>
                <w:color w:val="262B33"/>
                <w:sz w:val="16"/>
              </w:rPr>
              <w:t>Clopidogrel 75 mg Oral daily</w:t>
            </w:r>
          </w:p>
        </w:tc>
        <w:tc>
          <w:tcPr>
            <w:tcW w:type="dxa" w:w="3360"/>
          </w:tcPr>
          <w:p>
            <w:r>
              <w:rPr>
                <w:color w:val="262B33"/>
                <w:sz w:val="16"/>
              </w:rPr>
              <w:t>PAD</w:t>
            </w:r>
          </w:p>
        </w:tc>
        <w:tc>
          <w:tcPr>
            <w:tcW w:type="dxa" w:w="3360"/>
          </w:tcPr>
          <w:p>
            <w:r>
              <w:rPr>
                <w:color w:val="262B33"/>
                <w:sz w:val="16"/>
              </w:rPr>
              <w:t>Continued</w:t>
            </w:r>
          </w:p>
        </w:tc>
      </w:tr>
      <w:tr>
        <w:tc>
          <w:tcPr>
            <w:tcW w:type="dxa" w:w="3360"/>
          </w:tcPr>
          <w:p>
            <w:r>
              <w:rPr>
                <w:color w:val="262B33"/>
                <w:sz w:val="16"/>
              </w:rPr>
              <w:t>Gabapentin 300 mg Oral three times daily</w:t>
            </w:r>
          </w:p>
        </w:tc>
        <w:tc>
          <w:tcPr>
            <w:tcW w:type="dxa" w:w="3360"/>
          </w:tcPr>
          <w:p>
            <w:r>
              <w:rPr>
                <w:color w:val="262B33"/>
                <w:sz w:val="16"/>
              </w:rPr>
              <w:t>Diabetic neuropathy</w:t>
            </w:r>
          </w:p>
        </w:tc>
        <w:tc>
          <w:tcPr>
            <w:tcW w:type="dxa" w:w="3360"/>
          </w:tcPr>
          <w:p>
            <w:r>
              <w:rPr>
                <w:color w:val="262B33"/>
                <w:sz w:val="16"/>
              </w:rPr>
              <w:t>Continued, renally dose-checked</w:t>
            </w:r>
          </w:p>
        </w:tc>
      </w:tr>
      <w:tr>
        <w:tc>
          <w:tcPr>
            <w:tcW w:type="dxa" w:w="3360"/>
          </w:tcPr>
          <w:p>
            <w:r>
              <w:rPr>
                <w:color w:val="262B33"/>
                <w:sz w:val="16"/>
              </w:rPr>
              <w:t>Ferrous sulfate 325 mg Oral daily</w:t>
            </w:r>
          </w:p>
        </w:tc>
        <w:tc>
          <w:tcPr>
            <w:tcW w:type="dxa" w:w="3360"/>
          </w:tcPr>
          <w:p>
            <w:r>
              <w:rPr>
                <w:color w:val="262B33"/>
                <w:sz w:val="16"/>
              </w:rPr>
              <w:t>Anemia of CKD</w:t>
            </w:r>
          </w:p>
        </w:tc>
        <w:tc>
          <w:tcPr>
            <w:tcW w:type="dxa" w:w="3360"/>
          </w:tcPr>
          <w:p>
            <w:r>
              <w:rPr>
                <w:color w:val="262B33"/>
                <w:sz w:val="16"/>
              </w:rPr>
              <w:t>Continued</w:t>
            </w:r>
          </w:p>
        </w:tc>
      </w:tr>
      <w:tr>
        <w:tc>
          <w:tcPr>
            <w:tcW w:type="dxa" w:w="3360"/>
          </w:tcPr>
          <w:p>
            <w:r>
              <w:rPr>
                <w:color w:val="262B33"/>
                <w:sz w:val="16"/>
              </w:rPr>
              <w:t>Cholecalciferol 2000 units Oral daily</w:t>
            </w:r>
          </w:p>
        </w:tc>
        <w:tc>
          <w:tcPr>
            <w:tcW w:type="dxa" w:w="3360"/>
          </w:tcPr>
          <w:p>
            <w:r>
              <w:rPr>
                <w:color w:val="262B33"/>
                <w:sz w:val="16"/>
              </w:rPr>
              <w:t>CKD, vitamin D</w:t>
            </w:r>
          </w:p>
        </w:tc>
        <w:tc>
          <w:tcPr>
            <w:tcW w:type="dxa" w:w="3360"/>
          </w:tcPr>
          <w:p>
            <w:r>
              <w:rPr>
                <w:color w:val="262B33"/>
                <w:sz w:val="16"/>
              </w:rPr>
              <w:t>Continued</w:t>
            </w:r>
          </w:p>
        </w:tc>
      </w:tr>
      <w:tr>
        <w:tc>
          <w:tcPr>
            <w:tcW w:type="dxa" w:w="3360"/>
          </w:tcPr>
          <w:p>
            <w:r>
              <w:rPr>
                <w:color w:val="262B33"/>
                <w:sz w:val="16"/>
              </w:rPr>
              <w:t>Pantoprazole 40 mg Oral daily</w:t>
            </w:r>
          </w:p>
        </w:tc>
        <w:tc>
          <w:tcPr>
            <w:tcW w:type="dxa" w:w="3360"/>
          </w:tcPr>
          <w:p>
            <w:r>
              <w:rPr>
                <w:color w:val="262B33"/>
                <w:sz w:val="16"/>
              </w:rPr>
              <w:t>GERD</w:t>
            </w:r>
          </w:p>
        </w:tc>
        <w:tc>
          <w:tcPr>
            <w:tcW w:type="dxa" w:w="3360"/>
          </w:tcPr>
          <w:p>
            <w:r>
              <w:rPr>
                <w:color w:val="262B33"/>
                <w:sz w:val="16"/>
              </w:rPr>
              <w:t>Continued</w:t>
            </w:r>
          </w:p>
        </w:tc>
      </w:tr>
      <w:tr>
        <w:tc>
          <w:tcPr>
            <w:tcW w:type="dxa" w:w="3360"/>
          </w:tcPr>
          <w:p>
            <w:r>
              <w:rPr>
                <w:color w:val="262B33"/>
                <w:sz w:val="16"/>
              </w:rPr>
              <w:t>Acetaminophen 650 mg Oral three times daily as needed</w:t>
            </w:r>
          </w:p>
        </w:tc>
        <w:tc>
          <w:tcPr>
            <w:tcW w:type="dxa" w:w="3360"/>
          </w:tcPr>
          <w:p>
            <w:r>
              <w:rPr>
                <w:color w:val="262B33"/>
                <w:sz w:val="16"/>
              </w:rPr>
              <w:t>Knee osteoarthritis, NSAIDs avoided in CKD</w:t>
            </w:r>
          </w:p>
        </w:tc>
        <w:tc>
          <w:tcPr>
            <w:tcW w:type="dxa" w:w="3360"/>
          </w:tcPr>
          <w:p>
            <w:r>
              <w:rPr>
                <w:color w:val="262B33"/>
                <w:sz w:val="16"/>
              </w:rPr>
              <w:t>Continued</w:t>
            </w:r>
          </w:p>
        </w:tc>
      </w:tr>
      <w:tr>
        <w:tc>
          <w:tcPr>
            <w:tcW w:type="dxa" w:w="3360"/>
          </w:tcPr>
          <w:p>
            <w:r>
              <w:rPr>
                <w:color w:val="262B33"/>
                <w:sz w:val="16"/>
              </w:rPr>
              <w:t>CPAP nightly</w:t>
            </w:r>
          </w:p>
        </w:tc>
        <w:tc>
          <w:tcPr>
            <w:tcW w:type="dxa" w:w="3360"/>
          </w:tcPr>
          <w:p>
            <w:r>
              <w:rPr>
                <w:color w:val="262B33"/>
                <w:sz w:val="16"/>
              </w:rPr>
              <w:t>Obstructive sleep apnea</w:t>
            </w:r>
          </w:p>
        </w:tc>
        <w:tc>
          <w:tcPr>
            <w:tcW w:type="dxa" w:w="336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There is no surgical history beyond the index debridement. Every task in the world is an independent encounter that occurs strictly after this snapshot.</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w:t>
      </w:r>
    </w:p>
    <w:p>
      <w:pPr/>
      <w:r>
        <w:rPr>
          <w:color w:val="262B33"/>
          <w:sz w:val="16"/>
        </w:rPr>
        <w:t>Expected Output: a reconciled discharge medication list, one row per drug with a disposition of continue, hold, change, stop, or defer and a short rationale, plus patient-facing instructions, in professional clinical register, roughly one to two pages.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w:t>
      </w:r>
    </w:p>
    <w:p>
      <w:pPr/>
      <w:r>
        <w:rPr>
          <w:color w:val="262B33"/>
          <w:sz w:val="16"/>
        </w:rPr>
        <w:t>Expected Output: a physician coding attestation responding to the health information worksheet, one line per diagnosis with principal diagnosis, present-on-admission status, and code family, in coding-attestation register, roughly one page.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w:t>
      </w:r>
    </w:p>
    <w:p>
      <w:pPr/>
      <w:r>
        <w:rPr>
          <w:color w:val="262B33"/>
          <w:sz w:val="16"/>
        </w:rPr>
        <w:t>Expected Output: an attending response to a CDI query set, one reasoned answer per item, agreeing where the record supports it and declining on clinical grounds where it does not, in the treating attending's voice, roughly one page.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w:t>
      </w:r>
    </w:p>
    <w:p>
      <w:pPr/>
      <w:r>
        <w:rPr>
          <w:color w:val="262B33"/>
          <w:sz w:val="16"/>
        </w:rPr>
        <w:t>Expected Output: a physician appeal letter rebutting the Medicare Advantage denial of skilled-nursing-facility authorization, in formal physician-to-payer register, roughly one to two pages, with a clear appeal position and clinical rationale.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inpatient pharmacist.</w:t>
      </w:r>
    </w:p>
    <w:p>
      <w:pPr/>
      <w:r>
        <w:rPr>
          <w:color w:val="262B33"/>
          <w:sz w:val="19"/>
        </w:rPr>
        <w:t>Anchor: 05/25/2026 at 09:00. Priority: P0. Difficulty: medium-high. Time estimate: 20 to 30 minutes.</w:t>
      </w:r>
    </w:p>
    <w:p>
      <w:pPr/>
      <w:r>
        <w:rPr>
          <w:color w:val="262B33"/>
          <w:sz w:val="16"/>
        </w:rPr>
        <w:t>Expected Output: a response to a pharmacy benefit rejection of the planned discharge antibiotic, choosing among substitute, appeal, hold, or exception request with rationale, in pharmacist-to-prescriber clinical register, under one page.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w:t>
      </w:r>
    </w:p>
    <w:p>
      <w:pPr/>
      <w:r>
        <w:rPr>
          <w:color w:val="262B33"/>
          <w:sz w:val="16"/>
        </w:rPr>
        <w:t>Expected Output: a physician-advisor continued-stay determination with an explicit verdict and criteria-based rationale, in utilization-review register, roughly one page.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w:t>
      </w:r>
    </w:p>
    <w:p>
      <w:pPr/>
      <w:r>
        <w:rPr>
          <w:color w:val="262B33"/>
          <w:sz w:val="16"/>
        </w:rPr>
        <w:t>Expected Output: a completed diabetes quality-measure abstraction, one value, exclusion, or unable-to-determine per field, in abstraction register, structured form.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w:t>
      </w:r>
    </w:p>
    <w:p>
      <w:pPr/>
      <w:r>
        <w:rPr>
          <w:color w:val="262B33"/>
          <w:sz w:val="16"/>
        </w:rPr>
        <w:t>Expected Output: a vascular surgery referral letter that includes a required disposition table for source control, perfusion, antibiotics, offloading, and follow-up, in referral register, roughly one to two pages.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w:t>
      </w:r>
    </w:p>
    <w:p>
      <w:pPr/>
      <w:r>
        <w:rPr>
          <w:color w:val="262B33"/>
          <w:sz w:val="16"/>
        </w:rPr>
        <w:t>Expected Output: a safety review of a missed-offloading event with an attribution and prevention finding, in safety-review register, roughly one to two pages.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w:t>
      </w:r>
    </w:p>
    <w:p>
      <w:pPr/>
      <w:r>
        <w:rPr>
          <w:color w:val="262B33"/>
          <w:sz w:val="16"/>
        </w:rPr>
        <w:t>Expected Output: finalized discharge instructions completed from a started draft, in patient-facing discharge register, roughly one page.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EW1</w:t>
            </w:r>
          </w:p>
        </w:tc>
        <w:tc>
          <w:tcPr>
            <w:tcW w:type="dxa" w:w="1440"/>
          </w:tcPr>
          <w:p>
            <w:r>
              <w:rPr>
                <w:color w:val="262B33"/>
                <w:sz w:val="13"/>
              </w:rPr>
              <w:t>ed_physician_note_05162026.docx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ED presentation: warm swollen malodorous left forefoot, temp 38.2, WBC 14.2, creatinine 2.1 over CKD baseline, limb-threat assessment, empiric antibiotics started</w:t>
            </w:r>
          </w:p>
        </w:tc>
        <w:tc>
          <w:tcPr>
            <w:tcW w:type="dxa" w:w="1440"/>
          </w:tcPr>
          <w:p>
            <w:r>
              <w:rPr>
                <w:color w:val="262B33"/>
                <w:sz w:val="16"/>
              </w:rPr>
              <w:t>Establishes the index event and AKI on CKD; admission renal values that later tasks must not carry forward</w:t>
            </w:r>
          </w:p>
        </w:tc>
      </w:tr>
      <w:tr>
        <w:tc>
          <w:tcPr>
            <w:tcW w:type="dxa" w:w="1440"/>
          </w:tcPr>
          <w:p>
            <w:r>
              <w:rPr>
                <w:color w:val="262B33"/>
                <w:sz w:val="16"/>
              </w:rPr>
              <w:t>2</w:t>
            </w:r>
          </w:p>
        </w:tc>
        <w:tc>
          <w:tcPr>
            <w:tcW w:type="dxa" w:w="1440"/>
          </w:tcPr>
          <w:p>
            <w:r>
              <w:rPr>
                <w:color w:val="262B33"/>
                <w:sz w:val="16"/>
              </w:rPr>
              <w:t>EW2</w:t>
            </w:r>
          </w:p>
        </w:tc>
        <w:tc>
          <w:tcPr>
            <w:tcW w:type="dxa" w:w="1440"/>
          </w:tcPr>
          <w:p>
            <w:r>
              <w:rPr>
                <w:color w:val="262B33"/>
                <w:sz w:val="13"/>
              </w:rPr>
              <w:t>admission_hp_05162026.docx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Admission history and physical, full comorbidity profile, home meds, the holds of metformin, empagliflozin, lisinopril</w:t>
            </w:r>
          </w:p>
        </w:tc>
        <w:tc>
          <w:tcPr>
            <w:tcW w:type="dxa" w:w="1440"/>
          </w:tcPr>
          <w:p>
            <w:r>
              <w:rPr>
                <w:color w:val="262B33"/>
                <w:sz w:val="16"/>
              </w:rPr>
              <w:t>Held-agent restart substrate; NSAID-avoidance context; baseline functional limits</w:t>
            </w:r>
          </w:p>
        </w:tc>
      </w:tr>
      <w:tr>
        <w:tc>
          <w:tcPr>
            <w:tcW w:type="dxa" w:w="1440"/>
          </w:tcPr>
          <w:p>
            <w:r>
              <w:rPr>
                <w:color w:val="262B33"/>
                <w:sz w:val="16"/>
              </w:rPr>
              <w:t>3</w:t>
            </w:r>
          </w:p>
        </w:tc>
        <w:tc>
          <w:tcPr>
            <w:tcW w:type="dxa" w:w="1440"/>
          </w:tcPr>
          <w:p>
            <w:r>
              <w:rPr>
                <w:color w:val="262B33"/>
                <w:sz w:val="16"/>
              </w:rPr>
              <w:t>EW3</w:t>
            </w:r>
          </w:p>
        </w:tc>
        <w:tc>
          <w:tcPr>
            <w:tcW w:type="dxa" w:w="1440"/>
          </w:tcPr>
          <w:p>
            <w:r>
              <w:rPr>
                <w:color w:val="262B33"/>
                <w:sz w:val="13"/>
              </w:rPr>
              <w:t>hospitalist_progress_hd2_05172026.docx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Hospital day 2 progress note, debridement day, early course</w:t>
            </w:r>
          </w:p>
        </w:tc>
        <w:tc>
          <w:tcPr>
            <w:tcW w:type="dxa" w:w="1440"/>
          </w:tcPr>
          <w:p>
            <w:r>
              <w:rPr>
                <w:color w:val="262B33"/>
                <w:sz w:val="16"/>
              </w:rPr>
              <w:t>Improving-markers narrative begins; no disposition conclusion</w:t>
            </w:r>
          </w:p>
        </w:tc>
      </w:tr>
      <w:tr>
        <w:tc>
          <w:tcPr>
            <w:tcW w:type="dxa" w:w="1440"/>
          </w:tcPr>
          <w:p>
            <w:r>
              <w:rPr>
                <w:color w:val="262B33"/>
                <w:sz w:val="16"/>
              </w:rPr>
              <w:t>4</w:t>
            </w:r>
          </w:p>
        </w:tc>
        <w:tc>
          <w:tcPr>
            <w:tcW w:type="dxa" w:w="1440"/>
          </w:tcPr>
          <w:p>
            <w:r>
              <w:rPr>
                <w:color w:val="262B33"/>
                <w:sz w:val="16"/>
              </w:rPr>
              <w:t>EW4</w:t>
            </w:r>
          </w:p>
        </w:tc>
        <w:tc>
          <w:tcPr>
            <w:tcW w:type="dxa" w:w="1440"/>
          </w:tcPr>
          <w:p>
            <w:r>
              <w:rPr>
                <w:color w:val="262B33"/>
                <w:sz w:val="13"/>
              </w:rPr>
              <w:t>hospitalist_progress_hd4_05192026.docx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Hospital day 4 progress note, antibiotic narrowing, perfusion question raised</w:t>
            </w:r>
          </w:p>
        </w:tc>
        <w:tc>
          <w:tcPr>
            <w:tcW w:type="dxa" w:w="1440"/>
          </w:tcPr>
          <w:p>
            <w:r>
              <w:rPr>
                <w:color w:val="262B33"/>
                <w:sz w:val="16"/>
              </w:rPr>
              <w:t>Carries the perfusion-open thread without resolving it</w:t>
            </w:r>
          </w:p>
        </w:tc>
      </w:tr>
      <w:tr>
        <w:tc>
          <w:tcPr>
            <w:tcW w:type="dxa" w:w="1440"/>
          </w:tcPr>
          <w:p>
            <w:r>
              <w:rPr>
                <w:color w:val="262B33"/>
                <w:sz w:val="16"/>
              </w:rPr>
              <w:t>5</w:t>
            </w:r>
          </w:p>
        </w:tc>
        <w:tc>
          <w:tcPr>
            <w:tcW w:type="dxa" w:w="1440"/>
          </w:tcPr>
          <w:p>
            <w:r>
              <w:rPr>
                <w:color w:val="262B33"/>
                <w:sz w:val="16"/>
              </w:rPr>
              <w:t>EW5</w:t>
            </w:r>
          </w:p>
        </w:tc>
        <w:tc>
          <w:tcPr>
            <w:tcW w:type="dxa" w:w="1440"/>
          </w:tcPr>
          <w:p>
            <w:r>
              <w:rPr>
                <w:color w:val="262B33"/>
                <w:sz w:val="13"/>
              </w:rPr>
              <w:t>hospitalist_progress_hd6_05212026.docx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Hospital day 6 snapshot note, WBC 8.9, creatinine 1.6, improving but not safe for home</w:t>
            </w:r>
          </w:p>
        </w:tc>
        <w:tc>
          <w:tcPr>
            <w:tcW w:type="dxa" w:w="1440"/>
          </w:tcPr>
          <w:p>
            <w:r>
              <w:rPr>
                <w:color w:val="262B33"/>
                <w:sz w:val="16"/>
              </w:rPr>
              <w:t>The exact improving-but-unsafe tension; no closure</w:t>
            </w:r>
          </w:p>
        </w:tc>
      </w:tr>
      <w:tr>
        <w:tc>
          <w:tcPr>
            <w:tcW w:type="dxa" w:w="1440"/>
          </w:tcPr>
          <w:p>
            <w:r>
              <w:rPr>
                <w:color w:val="262B33"/>
                <w:sz w:val="16"/>
              </w:rPr>
              <w:t>6</w:t>
            </w:r>
          </w:p>
        </w:tc>
        <w:tc>
          <w:tcPr>
            <w:tcW w:type="dxa" w:w="1440"/>
          </w:tcPr>
          <w:p>
            <w:r>
              <w:rPr>
                <w:color w:val="262B33"/>
                <w:sz w:val="16"/>
              </w:rPr>
              <w:t>EW6</w:t>
            </w:r>
          </w:p>
        </w:tc>
        <w:tc>
          <w:tcPr>
            <w:tcW w:type="dxa" w:w="1440"/>
          </w:tcPr>
          <w:p>
            <w:r>
              <w:rPr>
                <w:color w:val="262B33"/>
                <w:sz w:val="13"/>
              </w:rPr>
              <w:t>podiatry_debridement_note_05172026.docx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Podiatry operative note, soft-tissue debridement, granulation at base, no exposed bone, deep cultures sent</w:t>
            </w:r>
          </w:p>
        </w:tc>
        <w:tc>
          <w:tcPr>
            <w:tcW w:type="dxa" w:w="1440"/>
          </w:tcPr>
          <w:p>
            <w:r>
              <w:rPr>
                <w:color w:val="262B33"/>
                <w:sz w:val="16"/>
              </w:rPr>
              <w:t>Osteomyelitis-restraint substrate; ulcer code family substrate</w:t>
            </w:r>
          </w:p>
        </w:tc>
      </w:tr>
      <w:tr>
        <w:tc>
          <w:tcPr>
            <w:tcW w:type="dxa" w:w="1440"/>
          </w:tcPr>
          <w:p>
            <w:r>
              <w:rPr>
                <w:color w:val="262B33"/>
                <w:sz w:val="16"/>
              </w:rPr>
              <w:t>7</w:t>
            </w:r>
          </w:p>
        </w:tc>
        <w:tc>
          <w:tcPr>
            <w:tcW w:type="dxa" w:w="1440"/>
          </w:tcPr>
          <w:p>
            <w:r>
              <w:rPr>
                <w:color w:val="262B33"/>
                <w:sz w:val="16"/>
              </w:rPr>
              <w:t>EW7</w:t>
            </w:r>
          </w:p>
        </w:tc>
        <w:tc>
          <w:tcPr>
            <w:tcW w:type="dxa" w:w="1440"/>
          </w:tcPr>
          <w:p>
            <w:r>
              <w:rPr>
                <w:color w:val="262B33"/>
                <w:sz w:val="13"/>
              </w:rPr>
              <w:t>mri_foot_report_05182026.docx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MRI foot radiology report, marrow edema adjacent to ulcer, early osteomyelitis cannot be excluded</w:t>
            </w:r>
          </w:p>
        </w:tc>
        <w:tc>
          <w:tcPr>
            <w:tcW w:type="dxa" w:w="1440"/>
          </w:tcPr>
          <w:p>
            <w:r>
              <w:rPr>
                <w:color w:val="262B33"/>
                <w:sz w:val="16"/>
              </w:rPr>
              <w:t>The equivocal-osteomyelitis anchor; looks codeable, is not established</w:t>
            </w:r>
          </w:p>
        </w:tc>
      </w:tr>
      <w:tr>
        <w:tc>
          <w:tcPr>
            <w:tcW w:type="dxa" w:w="1440"/>
          </w:tcPr>
          <w:p>
            <w:r>
              <w:rPr>
                <w:color w:val="262B33"/>
                <w:sz w:val="16"/>
              </w:rPr>
              <w:t>8</w:t>
            </w:r>
          </w:p>
        </w:tc>
        <w:tc>
          <w:tcPr>
            <w:tcW w:type="dxa" w:w="1440"/>
          </w:tcPr>
          <w:p>
            <w:r>
              <w:rPr>
                <w:color w:val="262B33"/>
                <w:sz w:val="16"/>
              </w:rPr>
              <w:t>EW8</w:t>
            </w:r>
          </w:p>
        </w:tc>
        <w:tc>
          <w:tcPr>
            <w:tcW w:type="dxa" w:w="1440"/>
          </w:tcPr>
          <w:p>
            <w:r>
              <w:rPr>
                <w:color w:val="262B33"/>
                <w:sz w:val="13"/>
              </w:rPr>
              <w:t>id_consult_note_05182026.docx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Infectious disease consult, deep soft tissue infection treated, osteomyelitis not signed, renal dosing noted</w:t>
            </w:r>
          </w:p>
        </w:tc>
        <w:tc>
          <w:tcPr>
            <w:tcW w:type="dxa" w:w="1440"/>
          </w:tcPr>
          <w:p>
            <w:r>
              <w:rPr>
                <w:color w:val="262B33"/>
                <w:sz w:val="16"/>
              </w:rPr>
              <w:t>Treating-voice restraint; renal antibiotic dosing substrate</w:t>
            </w:r>
          </w:p>
        </w:tc>
      </w:tr>
      <w:tr>
        <w:tc>
          <w:tcPr>
            <w:tcW w:type="dxa" w:w="1440"/>
          </w:tcPr>
          <w:p>
            <w:r>
              <w:rPr>
                <w:color w:val="262B33"/>
                <w:sz w:val="16"/>
              </w:rPr>
              <w:t>9</w:t>
            </w:r>
          </w:p>
        </w:tc>
        <w:tc>
          <w:tcPr>
            <w:tcW w:type="dxa" w:w="1440"/>
          </w:tcPr>
          <w:p>
            <w:r>
              <w:rPr>
                <w:color w:val="262B33"/>
                <w:sz w:val="16"/>
              </w:rPr>
              <w:t>EW9</w:t>
            </w:r>
          </w:p>
        </w:tc>
        <w:tc>
          <w:tcPr>
            <w:tcW w:type="dxa" w:w="1440"/>
          </w:tcPr>
          <w:p>
            <w:r>
              <w:rPr>
                <w:color w:val="262B33"/>
                <w:sz w:val="13"/>
              </w:rPr>
              <w:t>abi_tbi_study_report_05192026.docx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lab report, noncompressible ankle vessels, abnormal toe pressure</w:t>
            </w:r>
          </w:p>
        </w:tc>
        <w:tc>
          <w:tcPr>
            <w:tcW w:type="dxa" w:w="1440"/>
          </w:tcPr>
          <w:p>
            <w:r>
              <w:rPr>
                <w:color w:val="262B33"/>
                <w:sz w:val="16"/>
              </w:rPr>
              <w:t>Perfusion-overstatement trap; formal study governs over bedside pulse</w:t>
            </w:r>
          </w:p>
        </w:tc>
      </w:tr>
      <w:tr>
        <w:tc>
          <w:tcPr>
            <w:tcW w:type="dxa" w:w="1440"/>
          </w:tcPr>
          <w:p>
            <w:r>
              <w:rPr>
                <w:color w:val="262B33"/>
                <w:sz w:val="16"/>
              </w:rPr>
              <w:t>10</w:t>
            </w:r>
          </w:p>
        </w:tc>
        <w:tc>
          <w:tcPr>
            <w:tcW w:type="dxa" w:w="1440"/>
          </w:tcPr>
          <w:p>
            <w:r>
              <w:rPr>
                <w:color w:val="262B33"/>
                <w:sz w:val="16"/>
              </w:rPr>
              <w:t>EW10</w:t>
            </w:r>
          </w:p>
        </w:tc>
        <w:tc>
          <w:tcPr>
            <w:tcW w:type="dxa" w:w="1440"/>
          </w:tcPr>
          <w:p>
            <w:r>
              <w:rPr>
                <w:color w:val="262B33"/>
                <w:sz w:val="13"/>
              </w:rPr>
              <w:t>vascular_consult_note_05192026.docx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surgery consult, perfusion adequacy open, possible revascularization for healing</w:t>
            </w:r>
          </w:p>
        </w:tc>
        <w:tc>
          <w:tcPr>
            <w:tcW w:type="dxa" w:w="1440"/>
          </w:tcPr>
          <w:p>
            <w:r>
              <w:rPr>
                <w:color w:val="262B33"/>
                <w:sz w:val="16"/>
              </w:rPr>
              <w:t>Keeps perfusion genuinely unresolved; referral and appeal substrate</w:t>
            </w:r>
          </w:p>
        </w:tc>
      </w:tr>
      <w:tr>
        <w:tc>
          <w:tcPr>
            <w:tcW w:type="dxa" w:w="1440"/>
          </w:tcPr>
          <w:p>
            <w:r>
              <w:rPr>
                <w:color w:val="262B33"/>
                <w:sz w:val="16"/>
              </w:rPr>
              <w:t>11</w:t>
            </w:r>
          </w:p>
        </w:tc>
        <w:tc>
          <w:tcPr>
            <w:tcW w:type="dxa" w:w="1440"/>
          </w:tcPr>
          <w:p>
            <w:r>
              <w:rPr>
                <w:color w:val="262B33"/>
                <w:sz w:val="16"/>
              </w:rPr>
              <w:t>EW11</w:t>
            </w:r>
          </w:p>
        </w:tc>
        <w:tc>
          <w:tcPr>
            <w:tcW w:type="dxa" w:w="1440"/>
          </w:tcPr>
          <w:p>
            <w:r>
              <w:rPr>
                <w:color w:val="262B33"/>
                <w:sz w:val="13"/>
              </w:rPr>
              <w:t>foot_pathology_report_05202026.docx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Surgical pathology, soft tissue with acute inflammation, no bone in specimen</w:t>
            </w:r>
          </w:p>
        </w:tc>
        <w:tc>
          <w:tcPr>
            <w:tcW w:type="dxa" w:w="1440"/>
          </w:tcPr>
          <w:p>
            <w:r>
              <w:rPr>
                <w:color w:val="262B33"/>
                <w:sz w:val="16"/>
              </w:rPr>
              <w:t>Keeps osteomyelitis unconfirmed; CDI and coding substrate</w:t>
            </w:r>
          </w:p>
        </w:tc>
      </w:tr>
      <w:tr>
        <w:tc>
          <w:tcPr>
            <w:tcW w:type="dxa" w:w="1440"/>
          </w:tcPr>
          <w:p>
            <w:r>
              <w:rPr>
                <w:color w:val="262B33"/>
                <w:sz w:val="16"/>
              </w:rPr>
              <w:t>12</w:t>
            </w:r>
          </w:p>
        </w:tc>
        <w:tc>
          <w:tcPr>
            <w:tcW w:type="dxa" w:w="1440"/>
          </w:tcPr>
          <w:p>
            <w:r>
              <w:rPr>
                <w:color w:val="262B33"/>
                <w:sz w:val="16"/>
              </w:rPr>
              <w:t>EW12</w:t>
            </w:r>
          </w:p>
        </w:tc>
        <w:tc>
          <w:tcPr>
            <w:tcW w:type="dxa" w:w="1440"/>
          </w:tcPr>
          <w:p>
            <w:r>
              <w:rPr>
                <w:color w:val="262B33"/>
                <w:sz w:val="13"/>
              </w:rPr>
              <w:t>wound_care_consult_05202026.docx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Wound care nurse note, wound dimensions, drainage, skilled dressing frequency and technique</w:t>
            </w:r>
          </w:p>
        </w:tc>
        <w:tc>
          <w:tcPr>
            <w:tcW w:type="dxa" w:w="1440"/>
          </w:tcPr>
          <w:p>
            <w:r>
              <w:rPr>
                <w:color w:val="262B33"/>
                <w:sz w:val="16"/>
              </w:rPr>
              <w:t>Wound-care skill and frequency for the SNF appeal; ulcer family for coding</w:t>
            </w:r>
          </w:p>
        </w:tc>
      </w:tr>
      <w:tr>
        <w:tc>
          <w:tcPr>
            <w:tcW w:type="dxa" w:w="1440"/>
          </w:tcPr>
          <w:p>
            <w:r>
              <w:rPr>
                <w:color w:val="262B33"/>
                <w:sz w:val="16"/>
              </w:rPr>
              <w:t>13</w:t>
            </w:r>
          </w:p>
        </w:tc>
        <w:tc>
          <w:tcPr>
            <w:tcW w:type="dxa" w:w="1440"/>
          </w:tcPr>
          <w:p>
            <w:r>
              <w:rPr>
                <w:color w:val="262B33"/>
                <w:sz w:val="16"/>
              </w:rPr>
              <w:t>EW13</w:t>
            </w:r>
          </w:p>
        </w:tc>
        <w:tc>
          <w:tcPr>
            <w:tcW w:type="dxa" w:w="1440"/>
          </w:tcPr>
          <w:p>
            <w:r>
              <w:rPr>
                <w:color w:val="262B33"/>
                <w:sz w:val="13"/>
              </w:rPr>
              <w:t>pt_evaluation_05202026.docx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Physical therapy evaluation, gait, transfers, stairs, weight-bearing restriction</w:t>
            </w:r>
          </w:p>
        </w:tc>
        <w:tc>
          <w:tcPr>
            <w:tcW w:type="dxa" w:w="1440"/>
          </w:tcPr>
          <w:p>
            <w:r>
              <w:rPr>
                <w:color w:val="262B33"/>
                <w:sz w:val="16"/>
              </w:rPr>
              <w:t>Offloading and stairs central to disposition; system-cause substrate</w:t>
            </w:r>
          </w:p>
        </w:tc>
      </w:tr>
      <w:tr>
        <w:tc>
          <w:tcPr>
            <w:tcW w:type="dxa" w:w="1440"/>
          </w:tcPr>
          <w:p>
            <w:r>
              <w:rPr>
                <w:color w:val="262B33"/>
                <w:sz w:val="16"/>
              </w:rPr>
              <w:t>14</w:t>
            </w:r>
          </w:p>
        </w:tc>
        <w:tc>
          <w:tcPr>
            <w:tcW w:type="dxa" w:w="1440"/>
          </w:tcPr>
          <w:p>
            <w:r>
              <w:rPr>
                <w:color w:val="262B33"/>
                <w:sz w:val="16"/>
              </w:rPr>
              <w:t>EW14</w:t>
            </w:r>
          </w:p>
        </w:tc>
        <w:tc>
          <w:tcPr>
            <w:tcW w:type="dxa" w:w="1440"/>
          </w:tcPr>
          <w:p>
            <w:r>
              <w:rPr>
                <w:color w:val="262B33"/>
                <w:sz w:val="13"/>
              </w:rPr>
              <w:t>ot_evaluation_05202026.docx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Occupational therapy evaluation, ADLs, offloading teach-back not achieved</w:t>
            </w:r>
          </w:p>
        </w:tc>
        <w:tc>
          <w:tcPr>
            <w:tcW w:type="dxa" w:w="1440"/>
          </w:tcPr>
          <w:p>
            <w:r>
              <w:rPr>
                <w:color w:val="262B33"/>
                <w:sz w:val="16"/>
              </w:rPr>
              <w:t>Teach-back failure for the safety review; home-safety substrate</w:t>
            </w:r>
          </w:p>
        </w:tc>
      </w:tr>
      <w:tr>
        <w:tc>
          <w:tcPr>
            <w:tcW w:type="dxa" w:w="1440"/>
          </w:tcPr>
          <w:p>
            <w:r>
              <w:rPr>
                <w:color w:val="262B33"/>
                <w:sz w:val="16"/>
              </w:rPr>
              <w:t>15</w:t>
            </w:r>
          </w:p>
        </w:tc>
        <w:tc>
          <w:tcPr>
            <w:tcW w:type="dxa" w:w="1440"/>
          </w:tcPr>
          <w:p>
            <w:r>
              <w:rPr>
                <w:color w:val="262B33"/>
                <w:sz w:val="16"/>
              </w:rPr>
              <w:t>EW15</w:t>
            </w:r>
          </w:p>
        </w:tc>
        <w:tc>
          <w:tcPr>
            <w:tcW w:type="dxa" w:w="1440"/>
          </w:tcPr>
          <w:p>
            <w:r>
              <w:rPr>
                <w:color w:val="262B33"/>
                <w:sz w:val="13"/>
              </w:rPr>
              <w:t>case_management_note_05202026.docx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Case management screen, home walk-up, night-working caregiver, DME pending, disposition barriers</w:t>
            </w:r>
          </w:p>
        </w:tc>
        <w:tc>
          <w:tcPr>
            <w:tcW w:type="dxa" w:w="1440"/>
          </w:tcPr>
          <w:p>
            <w:r>
              <w:rPr>
                <w:color w:val="262B33"/>
                <w:sz w:val="16"/>
              </w:rPr>
              <w:t>Home and caregiver limits for the appeal and determination</w:t>
            </w:r>
          </w:p>
        </w:tc>
      </w:tr>
      <w:tr>
        <w:tc>
          <w:tcPr>
            <w:tcW w:type="dxa" w:w="1440"/>
          </w:tcPr>
          <w:p>
            <w:r>
              <w:rPr>
                <w:color w:val="262B33"/>
                <w:sz w:val="16"/>
              </w:rPr>
              <w:t>16</w:t>
            </w:r>
          </w:p>
        </w:tc>
        <w:tc>
          <w:tcPr>
            <w:tcW w:type="dxa" w:w="1440"/>
          </w:tcPr>
          <w:p>
            <w:r>
              <w:rPr>
                <w:color w:val="262B33"/>
                <w:sz w:val="16"/>
              </w:rPr>
              <w:t>EW16</w:t>
            </w:r>
          </w:p>
        </w:tc>
        <w:tc>
          <w:tcPr>
            <w:tcW w:type="dxa" w:w="1440"/>
          </w:tcPr>
          <w:p>
            <w:r>
              <w:rPr>
                <w:color w:val="262B33"/>
                <w:sz w:val="13"/>
              </w:rPr>
              <w:t>mar_05162026_05212026.docx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Medication administration record across the stay, antibiotic dates, insulin, holds</w:t>
            </w:r>
          </w:p>
        </w:tc>
        <w:tc>
          <w:tcPr>
            <w:tcW w:type="dxa" w:w="1440"/>
          </w:tcPr>
          <w:p>
            <w:r>
              <w:rPr>
                <w:color w:val="262B33"/>
                <w:sz w:val="16"/>
              </w:rPr>
              <w:t>The administered-truth source for reconciliation; renal dose checks</w:t>
            </w:r>
          </w:p>
        </w:tc>
      </w:tr>
      <w:tr>
        <w:tc>
          <w:tcPr>
            <w:tcW w:type="dxa" w:w="1440"/>
          </w:tcPr>
          <w:p>
            <w:r>
              <w:rPr>
                <w:color w:val="262B33"/>
                <w:sz w:val="16"/>
              </w:rPr>
              <w:t>17</w:t>
            </w:r>
          </w:p>
        </w:tc>
        <w:tc>
          <w:tcPr>
            <w:tcW w:type="dxa" w:w="1440"/>
          </w:tcPr>
          <w:p>
            <w:r>
              <w:rPr>
                <w:color w:val="262B33"/>
                <w:sz w:val="16"/>
              </w:rPr>
              <w:t>EW17</w:t>
            </w:r>
          </w:p>
        </w:tc>
        <w:tc>
          <w:tcPr>
            <w:tcW w:type="dxa" w:w="1440"/>
          </w:tcPr>
          <w:p>
            <w:r>
              <w:rPr>
                <w:color w:val="262B33"/>
                <w:sz w:val="13"/>
              </w:rPr>
              <w:t>renal_lab_trend_05162026.docx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Renal flowsheet, creatinine and GFR from admission through snapshot</w:t>
            </w:r>
          </w:p>
        </w:tc>
        <w:tc>
          <w:tcPr>
            <w:tcW w:type="dxa" w:w="1440"/>
          </w:tcPr>
          <w:p>
            <w:r>
              <w:rPr>
                <w:color w:val="262B33"/>
                <w:sz w:val="16"/>
              </w:rPr>
              <w:t>Current-vs-admission renal dosing; restart-timing substrate</w:t>
            </w:r>
          </w:p>
        </w:tc>
      </w:tr>
      <w:tr>
        <w:tc>
          <w:tcPr>
            <w:tcW w:type="dxa" w:w="1440"/>
          </w:tcPr>
          <w:p>
            <w:r>
              <w:rPr>
                <w:color w:val="262B33"/>
                <w:sz w:val="16"/>
              </w:rPr>
              <w:t>18</w:t>
            </w:r>
          </w:p>
        </w:tc>
        <w:tc>
          <w:tcPr>
            <w:tcW w:type="dxa" w:w="1440"/>
          </w:tcPr>
          <w:p>
            <w:r>
              <w:rPr>
                <w:color w:val="262B33"/>
                <w:sz w:val="16"/>
              </w:rPr>
              <w:t>EW18</w:t>
            </w:r>
          </w:p>
        </w:tc>
        <w:tc>
          <w:tcPr>
            <w:tcW w:type="dxa" w:w="1440"/>
          </w:tcPr>
          <w:p>
            <w:r>
              <w:rPr>
                <w:color w:val="262B33"/>
                <w:sz w:val="13"/>
              </w:rPr>
              <w:t>cbc_inflammatory_trend_05162026.docx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CBC and inflammatory markers trend, WBC and CRP falling, hemoglobin 9.8</w:t>
            </w:r>
          </w:p>
        </w:tc>
        <w:tc>
          <w:tcPr>
            <w:tcW w:type="dxa" w:w="1440"/>
          </w:tcPr>
          <w:p>
            <w:r>
              <w:rPr>
                <w:color w:val="262B33"/>
                <w:sz w:val="16"/>
              </w:rPr>
              <w:t>Improving markers the payer over-reads; anemia stays open</w:t>
            </w:r>
          </w:p>
        </w:tc>
      </w:tr>
      <w:tr>
        <w:tc>
          <w:tcPr>
            <w:tcW w:type="dxa" w:w="1440"/>
          </w:tcPr>
          <w:p>
            <w:r>
              <w:rPr>
                <w:color w:val="262B33"/>
                <w:sz w:val="16"/>
              </w:rPr>
              <w:t>19</w:t>
            </w:r>
          </w:p>
        </w:tc>
        <w:tc>
          <w:tcPr>
            <w:tcW w:type="dxa" w:w="1440"/>
          </w:tcPr>
          <w:p>
            <w:r>
              <w:rPr>
                <w:color w:val="262B33"/>
                <w:sz w:val="16"/>
              </w:rPr>
              <w:t>EW19</w:t>
            </w:r>
          </w:p>
        </w:tc>
        <w:tc>
          <w:tcPr>
            <w:tcW w:type="dxa" w:w="1440"/>
          </w:tcPr>
          <w:p>
            <w:r>
              <w:rPr>
                <w:color w:val="262B33"/>
                <w:sz w:val="13"/>
              </w:rPr>
              <w:t>culture_report_deep_tissue_05172026.docx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Deep-tissue operative culture with organism and susceptibilities</w:t>
            </w:r>
          </w:p>
        </w:tc>
        <w:tc>
          <w:tcPr>
            <w:tcW w:type="dxa" w:w="1440"/>
          </w:tcPr>
          <w:p>
            <w:r>
              <w:rPr>
                <w:color w:val="262B33"/>
                <w:sz w:val="16"/>
              </w:rPr>
              <w:t>Culture hierarchy for antibiotic rationale; pharmacy substitute substrate</w:t>
            </w:r>
          </w:p>
        </w:tc>
      </w:tr>
      <w:tr>
        <w:tc>
          <w:tcPr>
            <w:tcW w:type="dxa" w:w="1440"/>
          </w:tcPr>
          <w:p>
            <w:r>
              <w:rPr>
                <w:color w:val="262B33"/>
                <w:sz w:val="16"/>
              </w:rPr>
              <w:t>20</w:t>
            </w:r>
          </w:p>
        </w:tc>
        <w:tc>
          <w:tcPr>
            <w:tcW w:type="dxa" w:w="1440"/>
          </w:tcPr>
          <w:p>
            <w:r>
              <w:rPr>
                <w:color w:val="262B33"/>
                <w:sz w:val="16"/>
              </w:rPr>
              <w:t>EW20</w:t>
            </w:r>
          </w:p>
        </w:tc>
        <w:tc>
          <w:tcPr>
            <w:tcW w:type="dxa" w:w="1440"/>
          </w:tcPr>
          <w:p>
            <w:r>
              <w:rPr>
                <w:color w:val="262B33"/>
                <w:sz w:val="13"/>
              </w:rPr>
              <w:t>culture_report_superficial_swab_05162026.docx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Superficial wound swab, lower-authority result</w:t>
            </w:r>
          </w:p>
        </w:tc>
        <w:tc>
          <w:tcPr>
            <w:tcW w:type="dxa" w:w="1440"/>
          </w:tcPr>
          <w:p>
            <w:r>
              <w:rPr>
                <w:color w:val="262B33"/>
                <w:sz w:val="16"/>
              </w:rPr>
              <w:t>The tempting lower-authority culture to weight incorrectly</w:t>
            </w:r>
          </w:p>
        </w:tc>
      </w:tr>
      <w:tr>
        <w:tc>
          <w:tcPr>
            <w:tcW w:type="dxa" w:w="1440"/>
          </w:tcPr>
          <w:p>
            <w:r>
              <w:rPr>
                <w:color w:val="262B33"/>
                <w:sz w:val="16"/>
              </w:rPr>
              <w:t>21</w:t>
            </w:r>
          </w:p>
        </w:tc>
        <w:tc>
          <w:tcPr>
            <w:tcW w:type="dxa" w:w="1440"/>
          </w:tcPr>
          <w:p>
            <w:r>
              <w:rPr>
                <w:color w:val="262B33"/>
                <w:sz w:val="16"/>
              </w:rPr>
              <w:t>EW21</w:t>
            </w:r>
          </w:p>
        </w:tc>
        <w:tc>
          <w:tcPr>
            <w:tcW w:type="dxa" w:w="1440"/>
          </w:tcPr>
          <w:p>
            <w:r>
              <w:rPr>
                <w:color w:val="262B33"/>
                <w:sz w:val="13"/>
              </w:rPr>
              <w:t>endocrine_glycemic_note_05192026.docx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Endocrinology and diabetes education note, insulin management, A1c 8.6</w:t>
            </w:r>
          </w:p>
        </w:tc>
        <w:tc>
          <w:tcPr>
            <w:tcW w:type="dxa" w:w="1440"/>
          </w:tcPr>
          <w:p>
            <w:r>
              <w:rPr>
                <w:color w:val="262B33"/>
                <w:sz w:val="16"/>
              </w:rPr>
              <w:t>Diabetes measure substrate; insulin continuity</w:t>
            </w:r>
          </w:p>
        </w:tc>
      </w:tr>
      <w:tr>
        <w:tc>
          <w:tcPr>
            <w:tcW w:type="dxa" w:w="1440"/>
          </w:tcPr>
          <w:p>
            <w:r>
              <w:rPr>
                <w:color w:val="262B33"/>
                <w:sz w:val="16"/>
              </w:rPr>
              <w:t>22</w:t>
            </w:r>
          </w:p>
        </w:tc>
        <w:tc>
          <w:tcPr>
            <w:tcW w:type="dxa" w:w="1440"/>
          </w:tcPr>
          <w:p>
            <w:r>
              <w:rPr>
                <w:color w:val="262B33"/>
                <w:sz w:val="16"/>
              </w:rPr>
              <w:t>EW22</w:t>
            </w:r>
          </w:p>
        </w:tc>
        <w:tc>
          <w:tcPr>
            <w:tcW w:type="dxa" w:w="1440"/>
          </w:tcPr>
          <w:p>
            <w:r>
              <w:rPr>
                <w:color w:val="262B33"/>
                <w:sz w:val="13"/>
              </w:rPr>
              <w:t>home_med_list_05162026.docx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System-generated pre-admission home medication list with dose, route, frequency, indication</w:t>
            </w:r>
          </w:p>
        </w:tc>
        <w:tc>
          <w:tcPr>
            <w:tcW w:type="dxa" w:w="1440"/>
          </w:tcPr>
          <w:p>
            <w:r>
              <w:rPr>
                <w:color w:val="262B33"/>
                <w:sz w:val="16"/>
              </w:rPr>
              <w:t>The before-state for reconciliation; NSAID-avoidance</w:t>
            </w:r>
          </w:p>
        </w:tc>
      </w:tr>
      <w:tr>
        <w:tc>
          <w:tcPr>
            <w:tcW w:type="dxa" w:w="1440"/>
          </w:tcPr>
          <w:p>
            <w:r>
              <w:rPr>
                <w:color w:val="262B33"/>
                <w:sz w:val="16"/>
              </w:rPr>
              <w:t>23</w:t>
            </w:r>
          </w:p>
        </w:tc>
        <w:tc>
          <w:tcPr>
            <w:tcW w:type="dxa" w:w="1440"/>
          </w:tcPr>
          <w:p>
            <w:r>
              <w:rPr>
                <w:color w:val="262B33"/>
                <w:sz w:val="16"/>
              </w:rPr>
              <w:t>EW23</w:t>
            </w:r>
          </w:p>
        </w:tc>
        <w:tc>
          <w:tcPr>
            <w:tcW w:type="dxa" w:w="1440"/>
          </w:tcPr>
          <w:p>
            <w:r>
              <w:rPr>
                <w:color w:val="262B33"/>
                <w:sz w:val="13"/>
              </w:rPr>
              <w:t>outpatient_primary_care_summary_04302026.docx</w:t>
            </w:r>
          </w:p>
        </w:tc>
        <w:tc>
          <w:tcPr>
            <w:tcW w:type="dxa" w:w="1440"/>
          </w:tcPr>
          <w:p>
            <w:r>
              <w:rPr>
                <w:color w:val="262B33"/>
                <w:sz w:val="16"/>
              </w:rPr>
              <w:t>04/30/2026</w:t>
            </w:r>
          </w:p>
        </w:tc>
        <w:tc>
          <w:tcPr>
            <w:tcW w:type="dxa" w:w="1440"/>
          </w:tcPr>
          <w:p>
            <w:r>
              <w:rPr>
                <w:color w:val="262B33"/>
                <w:sz w:val="16"/>
              </w:rPr>
              <w:t>Custom Made</w:t>
            </w:r>
          </w:p>
        </w:tc>
        <w:tc>
          <w:tcPr>
            <w:tcW w:type="dxa" w:w="1440"/>
          </w:tcPr>
          <w:p>
            <w:r>
              <w:rPr>
                <w:color w:val="262B33"/>
                <w:sz w:val="16"/>
              </w:rPr>
              <w:t>Pre-admission primary care summary, chronic disease status, prior eye exam date and result</w:t>
            </w:r>
          </w:p>
        </w:tc>
        <w:tc>
          <w:tcPr>
            <w:tcW w:type="dxa" w:w="1440"/>
          </w:tcPr>
          <w:p>
            <w:r>
              <w:rPr>
                <w:color w:val="262B33"/>
                <w:sz w:val="16"/>
              </w:rPr>
              <w:t>The quiet quality-measure lookback and exclusion substrate</w:t>
            </w:r>
          </w:p>
        </w:tc>
      </w:tr>
      <w:tr>
        <w:tc>
          <w:tcPr>
            <w:tcW w:type="dxa" w:w="1440"/>
          </w:tcPr>
          <w:p>
            <w:r>
              <w:rPr>
                <w:color w:val="262B33"/>
                <w:sz w:val="16"/>
              </w:rPr>
              <w:t>24</w:t>
            </w:r>
          </w:p>
        </w:tc>
        <w:tc>
          <w:tcPr>
            <w:tcW w:type="dxa" w:w="1440"/>
          </w:tcPr>
          <w:p>
            <w:r>
              <w:rPr>
                <w:color w:val="262B33"/>
                <w:sz w:val="16"/>
              </w:rPr>
              <w:t>EW24</w:t>
            </w:r>
          </w:p>
        </w:tc>
        <w:tc>
          <w:tcPr>
            <w:tcW w:type="dxa" w:w="1440"/>
          </w:tcPr>
          <w:p>
            <w:r>
              <w:rPr>
                <w:color w:val="262B33"/>
                <w:sz w:val="13"/>
              </w:rPr>
              <w:t>nursing_offloading_flowsheet_05202026.docx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Nursing flowsheet, offloading device use, repositioning, teaching attempts</w:t>
            </w:r>
          </w:p>
        </w:tc>
        <w:tc>
          <w:tcPr>
            <w:tcW w:type="dxa" w:w="1440"/>
          </w:tcPr>
          <w:p>
            <w:r>
              <w:rPr>
                <w:color w:val="262B33"/>
                <w:sz w:val="16"/>
              </w:rPr>
              <w:t>Device-availability and teaching contributors for the safety review</w:t>
            </w:r>
          </w:p>
        </w:tc>
      </w:tr>
      <w:tr>
        <w:tc>
          <w:tcPr>
            <w:tcW w:type="dxa" w:w="1440"/>
          </w:tcPr>
          <w:p>
            <w:r>
              <w:rPr>
                <w:color w:val="262B33"/>
                <w:sz w:val="16"/>
              </w:rPr>
              <w:t>25</w:t>
            </w:r>
          </w:p>
        </w:tc>
        <w:tc>
          <w:tcPr>
            <w:tcW w:type="dxa" w:w="1440"/>
          </w:tcPr>
          <w:p>
            <w:r>
              <w:rPr>
                <w:color w:val="262B33"/>
                <w:sz w:val="16"/>
              </w:rPr>
              <w:t>EW25</w:t>
            </w:r>
          </w:p>
        </w:tc>
        <w:tc>
          <w:tcPr>
            <w:tcW w:type="dxa" w:w="1440"/>
          </w:tcPr>
          <w:p>
            <w:r>
              <w:rPr>
                <w:color w:val="262B33"/>
                <w:sz w:val="13"/>
              </w:rPr>
              <w:t>medication_hold_orders_05162026.docx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Signed admission hold orders for metformin, empagliflozin, lisinopril with reasons</w:t>
            </w:r>
          </w:p>
        </w:tc>
        <w:tc>
          <w:tcPr>
            <w:tcW w:type="dxa" w:w="1440"/>
          </w:tcPr>
          <w:p>
            <w:r>
              <w:rPr>
                <w:color w:val="262B33"/>
                <w:sz w:val="16"/>
              </w:rPr>
              <w:t>Makes the holds explicit decisions, not silent gaps</w:t>
            </w:r>
          </w:p>
        </w:tc>
      </w:tr>
      <w:tr>
        <w:tc>
          <w:tcPr>
            <w:tcW w:type="dxa" w:w="1440"/>
          </w:tcPr>
          <w:p>
            <w:r>
              <w:rPr>
                <w:color w:val="262B33"/>
                <w:sz w:val="16"/>
              </w:rPr>
              <w:t>26</w:t>
            </w:r>
          </w:p>
        </w:tc>
        <w:tc>
          <w:tcPr>
            <w:tcW w:type="dxa" w:w="1440"/>
          </w:tcPr>
          <w:p>
            <w:r>
              <w:rPr>
                <w:color w:val="262B33"/>
                <w:sz w:val="16"/>
              </w:rPr>
              <w:t>EW26</w:t>
            </w:r>
          </w:p>
        </w:tc>
        <w:tc>
          <w:tcPr>
            <w:tcW w:type="dxa" w:w="1440"/>
          </w:tcPr>
          <w:p>
            <w:r>
              <w:rPr>
                <w:color w:val="262B33"/>
                <w:sz w:val="13"/>
              </w:rPr>
              <w:t>antibiotic_plan_note_05192026.docx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ID antibiotic course and planned discharge agent at a renal dose, not a final synthesis</w:t>
            </w:r>
          </w:p>
        </w:tc>
        <w:tc>
          <w:tcPr>
            <w:tcW w:type="dxa" w:w="1440"/>
          </w:tcPr>
          <w:p>
            <w:r>
              <w:rPr>
                <w:color w:val="262B33"/>
                <w:sz w:val="16"/>
              </w:rPr>
              <w:t>Renal dosing and the pharmacy-rejection substrate, kept recommendation-level</w:t>
            </w:r>
          </w:p>
        </w:tc>
      </w:tr>
      <w:tr>
        <w:tc>
          <w:tcPr>
            <w:tcW w:type="dxa" w:w="1440"/>
          </w:tcPr>
          <w:p>
            <w:r>
              <w:rPr>
                <w:color w:val="262B33"/>
                <w:sz w:val="16"/>
              </w:rPr>
              <w:t>27</w:t>
            </w:r>
          </w:p>
        </w:tc>
        <w:tc>
          <w:tcPr>
            <w:tcW w:type="dxa" w:w="1440"/>
          </w:tcPr>
          <w:p>
            <w:r>
              <w:rPr>
                <w:color w:val="262B33"/>
                <w:sz w:val="16"/>
              </w:rPr>
              <w:t>EW27</w:t>
            </w:r>
          </w:p>
        </w:tc>
        <w:tc>
          <w:tcPr>
            <w:tcW w:type="dxa" w:w="1440"/>
          </w:tcPr>
          <w:p>
            <w:r>
              <w:rPr>
                <w:color w:val="262B33"/>
                <w:sz w:val="13"/>
              </w:rPr>
              <w:t>vital_signs_flowsheet_05162026.docx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Vitals across the stay, defervescence by snapshot</w:t>
            </w:r>
          </w:p>
        </w:tc>
        <w:tc>
          <w:tcPr>
            <w:tcW w:type="dxa" w:w="1440"/>
          </w:tcPr>
          <w:p>
            <w:r>
              <w:rPr>
                <w:color w:val="262B33"/>
                <w:sz w:val="16"/>
              </w:rPr>
              <w:t>Improvement evidence; afebrile but unsafe</w:t>
            </w:r>
          </w:p>
        </w:tc>
      </w:tr>
      <w:tr>
        <w:tc>
          <w:tcPr>
            <w:tcW w:type="dxa" w:w="1440"/>
          </w:tcPr>
          <w:p>
            <w:r>
              <w:rPr>
                <w:color w:val="262B33"/>
                <w:sz w:val="16"/>
              </w:rPr>
              <w:t>28</w:t>
            </w:r>
          </w:p>
        </w:tc>
        <w:tc>
          <w:tcPr>
            <w:tcW w:type="dxa" w:w="1440"/>
          </w:tcPr>
          <w:p>
            <w:r>
              <w:rPr>
                <w:color w:val="262B33"/>
                <w:sz w:val="16"/>
              </w:rPr>
              <w:t>EW28</w:t>
            </w:r>
          </w:p>
        </w:tc>
        <w:tc>
          <w:tcPr>
            <w:tcW w:type="dxa" w:w="1440"/>
          </w:tcPr>
          <w:p>
            <w:r>
              <w:rPr>
                <w:color w:val="262B33"/>
                <w:sz w:val="13"/>
              </w:rPr>
              <w:t>diabetic_eye_exam_result_03152026.docx</w:t>
            </w:r>
          </w:p>
        </w:tc>
        <w:tc>
          <w:tcPr>
            <w:tcW w:type="dxa" w:w="1440"/>
          </w:tcPr>
          <w:p>
            <w:r>
              <w:rPr>
                <w:color w:val="262B33"/>
                <w:sz w:val="16"/>
              </w:rPr>
              <w:t>03/15/2026</w:t>
            </w:r>
          </w:p>
        </w:tc>
        <w:tc>
          <w:tcPr>
            <w:tcW w:type="dxa" w:w="1440"/>
          </w:tcPr>
          <w:p>
            <w:r>
              <w:rPr>
                <w:color w:val="262B33"/>
                <w:sz w:val="16"/>
              </w:rPr>
              <w:t>Custom Made</w:t>
            </w:r>
          </w:p>
        </w:tc>
        <w:tc>
          <w:tcPr>
            <w:tcW w:type="dxa" w:w="1440"/>
          </w:tcPr>
          <w:p>
            <w:r>
              <w:rPr>
                <w:color w:val="262B33"/>
                <w:sz w:val="16"/>
              </w:rPr>
              <w:t>Prior dilated eye exam, mild non-proliferative retinopathy, dated</w:t>
            </w:r>
          </w:p>
        </w:tc>
        <w:tc>
          <w:tcPr>
            <w:tcW w:type="dxa" w:w="1440"/>
          </w:tcPr>
          <w:p>
            <w:r>
              <w:rPr>
                <w:color w:val="262B33"/>
                <w:sz w:val="16"/>
              </w:rPr>
              <w:t>The measure lookback date that governs the abstraction capture</w:t>
            </w:r>
          </w:p>
        </w:tc>
      </w:tr>
      <w:tr>
        <w:tc>
          <w:tcPr>
            <w:tcW w:type="dxa" w:w="1440"/>
          </w:tcPr>
          <w:p>
            <w:r>
              <w:rPr>
                <w:color w:val="262B33"/>
                <w:sz w:val="16"/>
              </w:rPr>
              <w:t>29</w:t>
            </w:r>
          </w:p>
        </w:tc>
        <w:tc>
          <w:tcPr>
            <w:tcW w:type="dxa" w:w="1440"/>
          </w:tcPr>
          <w:p>
            <w:r>
              <w:rPr>
                <w:color w:val="262B33"/>
                <w:sz w:val="16"/>
              </w:rPr>
              <w:t>EW29</w:t>
            </w:r>
          </w:p>
        </w:tc>
        <w:tc>
          <w:tcPr>
            <w:tcW w:type="dxa" w:w="1440"/>
          </w:tcPr>
          <w:p>
            <w:r>
              <w:rPr>
                <w:color w:val="262B33"/>
                <w:sz w:val="13"/>
              </w:rPr>
              <w:t>family_communication_note_05202026.docx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Family meeting with daughter, willingness and night-shift limits, interpreter used</w:t>
            </w:r>
          </w:p>
        </w:tc>
        <w:tc>
          <w:tcPr>
            <w:tcW w:type="dxa" w:w="1440"/>
          </w:tcPr>
          <w:p>
            <w:r>
              <w:rPr>
                <w:color w:val="262B33"/>
                <w:sz w:val="16"/>
              </w:rPr>
              <w:t>Caregiver limits and language realism for the appeal</w:t>
            </w:r>
          </w:p>
        </w:tc>
      </w:tr>
      <w:tr>
        <w:tc>
          <w:tcPr>
            <w:tcW w:type="dxa" w:w="1440"/>
          </w:tcPr>
          <w:p>
            <w:r>
              <w:rPr>
                <w:color w:val="262B33"/>
                <w:sz w:val="16"/>
              </w:rPr>
              <w:t>30</w:t>
            </w:r>
          </w:p>
        </w:tc>
        <w:tc>
          <w:tcPr>
            <w:tcW w:type="dxa" w:w="1440"/>
          </w:tcPr>
          <w:p>
            <w:r>
              <w:rPr>
                <w:color w:val="262B33"/>
                <w:sz w:val="16"/>
              </w:rPr>
              <w:t>EW30</w:t>
            </w:r>
          </w:p>
        </w:tc>
        <w:tc>
          <w:tcPr>
            <w:tcW w:type="dxa" w:w="1440"/>
          </w:tcPr>
          <w:p>
            <w:r>
              <w:rPr>
                <w:color w:val="262B33"/>
                <w:sz w:val="13"/>
              </w:rPr>
              <w:t>wound_photo_05202026.jpg</w:t>
            </w:r>
          </w:p>
        </w:tc>
        <w:tc>
          <w:tcPr>
            <w:tcW w:type="dxa" w:w="1440"/>
          </w:tcPr>
          <w:p>
            <w:r>
              <w:rPr>
                <w:color w:val="262B33"/>
                <w:sz w:val="16"/>
              </w:rPr>
              <w:t>05/20/2026</w:t>
            </w:r>
          </w:p>
        </w:tc>
        <w:tc>
          <w:tcPr>
            <w:tcW w:type="dxa" w:w="1440"/>
          </w:tcPr>
          <w:p>
            <w:r>
              <w:rPr>
                <w:color w:val="262B33"/>
                <w:sz w:val="16"/>
              </w:rPr>
              <w:t>Writer Produced File, not a template</w:t>
            </w:r>
          </w:p>
        </w:tc>
        <w:tc>
          <w:tcPr>
            <w:tcW w:type="dxa" w:w="1440"/>
          </w:tcPr>
          <w:p>
            <w:r>
              <w:rPr>
                <w:color w:val="262B33"/>
                <w:sz w:val="16"/>
              </w:rPr>
              <w:t>Bedside clinical photograph of the left forefoot wound, no identifying features</w:t>
            </w:r>
          </w:p>
        </w:tc>
        <w:tc>
          <w:tcPr>
            <w:tcW w:type="dxa" w:w="1440"/>
          </w:tcPr>
          <w:p>
            <w:r>
              <w:rPr>
                <w:color w:val="262B33"/>
                <w:sz w:val="16"/>
              </w:rPr>
              <w:t>Substrate only, supports wound context, never the headline scored trap</w:t>
            </w:r>
          </w:p>
        </w:tc>
      </w:tr>
      <w:tr>
        <w:tc>
          <w:tcPr>
            <w:tcW w:type="dxa" w:w="1440"/>
          </w:tcPr>
          <w:p>
            <w:r>
              <w:rPr>
                <w:color w:val="262B33"/>
                <w:sz w:val="16"/>
              </w:rPr>
              <w:t>31</w:t>
            </w:r>
          </w:p>
        </w:tc>
        <w:tc>
          <w:tcPr>
            <w:tcW w:type="dxa" w:w="1440"/>
          </w:tcPr>
          <w:p>
            <w:r>
              <w:rPr>
                <w:color w:val="262B33"/>
                <w:sz w:val="16"/>
              </w:rPr>
              <w:t>EW31</w:t>
            </w:r>
          </w:p>
        </w:tc>
        <w:tc>
          <w:tcPr>
            <w:tcW w:type="dxa" w:w="1440"/>
          </w:tcPr>
          <w:p>
            <w:r>
              <w:rPr>
                <w:color w:val="262B33"/>
                <w:sz w:val="13"/>
              </w:rPr>
              <w:t>abi_tbi_tracing_05192026.jpg</w:t>
            </w:r>
          </w:p>
        </w:tc>
        <w:tc>
          <w:tcPr>
            <w:tcW w:type="dxa" w:w="1440"/>
          </w:tcPr>
          <w:p>
            <w:r>
              <w:rPr>
                <w:color w:val="262B33"/>
                <w:sz w:val="16"/>
              </w:rPr>
              <w:t>05/19/2026</w:t>
            </w:r>
          </w:p>
        </w:tc>
        <w:tc>
          <w:tcPr>
            <w:tcW w:type="dxa" w:w="1440"/>
          </w:tcPr>
          <w:p>
            <w:r>
              <w:rPr>
                <w:color w:val="262B33"/>
                <w:sz w:val="16"/>
              </w:rPr>
              <w:t>Writer Produced File, not a template</w:t>
            </w:r>
          </w:p>
        </w:tc>
        <w:tc>
          <w:tcPr>
            <w:tcW w:type="dxa" w:w="1440"/>
          </w:tcPr>
          <w:p>
            <w:r>
              <w:rPr>
                <w:color w:val="262B33"/>
                <w:sz w:val="16"/>
              </w:rPr>
              <w:t>Scanned ABI and TBI waveform tracing supporting the report values</w:t>
            </w:r>
          </w:p>
        </w:tc>
        <w:tc>
          <w:tcPr>
            <w:tcW w:type="dxa" w:w="1440"/>
          </w:tcPr>
          <w:p>
            <w:r>
              <w:rPr>
                <w:color w:val="262B33"/>
                <w:sz w:val="16"/>
              </w:rP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E1-T1</w:t>
            </w:r>
          </w:p>
        </w:tc>
        <w:tc>
          <w:tcPr>
            <w:tcW w:type="dxa" w:w="1440"/>
          </w:tcPr>
          <w:p>
            <w:r>
              <w:rPr>
                <w:color w:val="262B33"/>
                <w:sz w:val="13"/>
              </w:rPr>
              <w:t>preliminary_discharge_order_set_05212026.docx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Unreconciled discharge order set carrying admission-dosed antibiotics and ambiguously held oral agents</w:t>
            </w:r>
          </w:p>
        </w:tc>
        <w:tc>
          <w:tcPr>
            <w:tcW w:type="dxa" w:w="1440"/>
          </w:tcPr>
          <w:p>
            <w:r>
              <w:rPr>
                <w:color w:val="262B33"/>
                <w:sz w:val="16"/>
              </w:rPr>
              <w:t>Task 1</w:t>
            </w:r>
          </w:p>
        </w:tc>
      </w:tr>
      <w:tr>
        <w:tc>
          <w:tcPr>
            <w:tcW w:type="dxa" w:w="1440"/>
          </w:tcPr>
          <w:p>
            <w:r>
              <w:rPr>
                <w:color w:val="262B33"/>
                <w:sz w:val="16"/>
              </w:rPr>
              <w:t>2</w:t>
            </w:r>
          </w:p>
        </w:tc>
        <w:tc>
          <w:tcPr>
            <w:tcW w:type="dxa" w:w="1440"/>
          </w:tcPr>
          <w:p>
            <w:r>
              <w:rPr>
                <w:color w:val="262B33"/>
                <w:sz w:val="16"/>
              </w:rPr>
              <w:t>E1-T2</w:t>
            </w:r>
          </w:p>
        </w:tc>
        <w:tc>
          <w:tcPr>
            <w:tcW w:type="dxa" w:w="1440"/>
          </w:tcPr>
          <w:p>
            <w:r>
              <w:rPr>
                <w:color w:val="262B33"/>
                <w:sz w:val="13"/>
              </w:rPr>
              <w:t>him_preliminary_coding_worksheet_05212026.docx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External health-information worksheet steering toward a pressure-injury family and acute osteomyelitis POA</w:t>
            </w:r>
          </w:p>
        </w:tc>
        <w:tc>
          <w:tcPr>
            <w:tcW w:type="dxa" w:w="1440"/>
          </w:tcPr>
          <w:p>
            <w:r>
              <w:rPr>
                <w:color w:val="262B33"/>
                <w:sz w:val="16"/>
              </w:rPr>
              <w:t>Task 2</w:t>
            </w:r>
          </w:p>
        </w:tc>
      </w:tr>
      <w:tr>
        <w:tc>
          <w:tcPr>
            <w:tcW w:type="dxa" w:w="1440"/>
          </w:tcPr>
          <w:p>
            <w:r>
              <w:rPr>
                <w:color w:val="262B33"/>
                <w:sz w:val="16"/>
              </w:rPr>
              <w:t>3</w:t>
            </w:r>
          </w:p>
        </w:tc>
        <w:tc>
          <w:tcPr>
            <w:tcW w:type="dxa" w:w="1440"/>
          </w:tcPr>
          <w:p>
            <w:r>
              <w:rPr>
                <w:color w:val="262B33"/>
                <w:sz w:val="16"/>
              </w:rPr>
              <w:t>E1-T3</w:t>
            </w:r>
          </w:p>
        </w:tc>
        <w:tc>
          <w:tcPr>
            <w:tcW w:type="dxa" w:w="1440"/>
          </w:tcPr>
          <w:p>
            <w:r>
              <w:rPr>
                <w:color w:val="262B33"/>
                <w:sz w:val="13"/>
              </w:rPr>
              <w:t>cdi_query_memo_05232026.docx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CDI query pressing acute osteomyelitis specificity and severity language</w:t>
            </w:r>
          </w:p>
        </w:tc>
        <w:tc>
          <w:tcPr>
            <w:tcW w:type="dxa" w:w="1440"/>
          </w:tcPr>
          <w:p>
            <w:r>
              <w:rPr>
                <w:color w:val="262B33"/>
                <w:sz w:val="16"/>
              </w:rPr>
              <w:t>Task 3</w:t>
            </w:r>
          </w:p>
        </w:tc>
      </w:tr>
      <w:tr>
        <w:tc>
          <w:tcPr>
            <w:tcW w:type="dxa" w:w="1440"/>
          </w:tcPr>
          <w:p>
            <w:r>
              <w:rPr>
                <w:color w:val="262B33"/>
                <w:sz w:val="16"/>
              </w:rPr>
              <w:t>4</w:t>
            </w:r>
          </w:p>
        </w:tc>
        <w:tc>
          <w:tcPr>
            <w:tcW w:type="dxa" w:w="1440"/>
          </w:tcPr>
          <w:p>
            <w:r>
              <w:rPr>
                <w:color w:val="262B33"/>
                <w:sz w:val="16"/>
              </w:rPr>
              <w:t>E1-T4</w:t>
            </w:r>
          </w:p>
        </w:tc>
        <w:tc>
          <w:tcPr>
            <w:tcW w:type="dxa" w:w="1440"/>
          </w:tcPr>
          <w:p>
            <w:r>
              <w:rPr>
                <w:color w:val="262B33"/>
                <w:sz w:val="13"/>
              </w:rPr>
              <w:t>medicare_advantage_denial_letter_05232026.docx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payer denial of SNF authorization framing improving markers as home readiness</w:t>
            </w:r>
          </w:p>
        </w:tc>
        <w:tc>
          <w:tcPr>
            <w:tcW w:type="dxa" w:w="1440"/>
          </w:tcPr>
          <w:p>
            <w:r>
              <w:rPr>
                <w:color w:val="262B33"/>
                <w:sz w:val="16"/>
              </w:rPr>
              <w:t>Task 4</w:t>
            </w:r>
          </w:p>
        </w:tc>
      </w:tr>
      <w:tr>
        <w:tc>
          <w:tcPr>
            <w:tcW w:type="dxa" w:w="1440"/>
          </w:tcPr>
          <w:p>
            <w:r>
              <w:rPr>
                <w:color w:val="262B33"/>
                <w:sz w:val="16"/>
              </w:rPr>
              <w:t>5</w:t>
            </w:r>
          </w:p>
        </w:tc>
        <w:tc>
          <w:tcPr>
            <w:tcW w:type="dxa" w:w="1440"/>
          </w:tcPr>
          <w:p>
            <w:r>
              <w:rPr>
                <w:color w:val="262B33"/>
                <w:sz w:val="16"/>
              </w:rPr>
              <w:t>E1-T5</w:t>
            </w:r>
          </w:p>
        </w:tc>
        <w:tc>
          <w:tcPr>
            <w:tcW w:type="dxa" w:w="1440"/>
          </w:tcPr>
          <w:p>
            <w:r>
              <w:rPr>
                <w:color w:val="262B33"/>
                <w:sz w:val="13"/>
              </w:rPr>
              <w:t>pharmacy_benefit_rejection_05242026.docx</w:t>
            </w:r>
          </w:p>
        </w:tc>
        <w:tc>
          <w:tcPr>
            <w:tcW w:type="dxa" w:w="1440"/>
          </w:tcPr>
          <w:p>
            <w:r>
              <w:rPr>
                <w:color w:val="262B33"/>
                <w:sz w:val="16"/>
              </w:rPr>
              <w:t>05/24/2026</w:t>
            </w:r>
          </w:p>
        </w:tc>
        <w:tc>
          <w:tcPr>
            <w:tcW w:type="dxa" w:w="1440"/>
          </w:tcPr>
          <w:p>
            <w:r>
              <w:rPr>
                <w:color w:val="262B33"/>
                <w:sz w:val="16"/>
              </w:rPr>
              <w:t>Custom Made</w:t>
            </w:r>
          </w:p>
        </w:tc>
        <w:tc>
          <w:tcPr>
            <w:tcW w:type="dxa" w:w="1440"/>
          </w:tcPr>
          <w:p>
            <w:r>
              <w:rPr>
                <w:color w:val="262B33"/>
                <w:sz w:val="16"/>
              </w:rPr>
              <w:t>External PBM rejection of the planned antibiotic with a formulary-preferred substitute</w:t>
            </w:r>
          </w:p>
        </w:tc>
        <w:tc>
          <w:tcPr>
            <w:tcW w:type="dxa" w:w="1440"/>
          </w:tcPr>
          <w:p>
            <w:r>
              <w:rPr>
                <w:color w:val="262B33"/>
                <w:sz w:val="16"/>
              </w:rPr>
              <w:t>Task 5</w:t>
            </w:r>
          </w:p>
        </w:tc>
      </w:tr>
      <w:tr>
        <w:tc>
          <w:tcPr>
            <w:tcW w:type="dxa" w:w="1440"/>
          </w:tcPr>
          <w:p>
            <w:r>
              <w:rPr>
                <w:color w:val="262B33"/>
                <w:sz w:val="16"/>
              </w:rPr>
              <w:t>6</w:t>
            </w:r>
          </w:p>
        </w:tc>
        <w:tc>
          <w:tcPr>
            <w:tcW w:type="dxa" w:w="1440"/>
          </w:tcPr>
          <w:p>
            <w:r>
              <w:rPr>
                <w:color w:val="262B33"/>
                <w:sz w:val="16"/>
              </w:rPr>
              <w:t>E1-T6</w:t>
            </w:r>
          </w:p>
        </w:tc>
        <w:tc>
          <w:tcPr>
            <w:tcW w:type="dxa" w:w="1440"/>
          </w:tcPr>
          <w:p>
            <w:r>
              <w:rPr>
                <w:color w:val="262B33"/>
                <w:sz w:val="13"/>
              </w:rPr>
              <w:t>payer_concurrent_review_request_05252026.docx</w:t>
            </w:r>
          </w:p>
        </w:tc>
        <w:tc>
          <w:tcPr>
            <w:tcW w:type="dxa" w:w="1440"/>
          </w:tcPr>
          <w:p>
            <w:r>
              <w:rPr>
                <w:color w:val="262B33"/>
                <w:sz w:val="16"/>
              </w:rPr>
              <w:t>05/25/2026</w:t>
            </w:r>
          </w:p>
        </w:tc>
        <w:tc>
          <w:tcPr>
            <w:tcW w:type="dxa" w:w="1440"/>
          </w:tcPr>
          <w:p>
            <w:r>
              <w:rPr>
                <w:color w:val="262B33"/>
                <w:sz w:val="16"/>
              </w:rPr>
              <w:t>Custom Made</w:t>
            </w:r>
          </w:p>
        </w:tc>
        <w:tc>
          <w:tcPr>
            <w:tcW w:type="dxa" w:w="1440"/>
          </w:tcPr>
          <w:p>
            <w:r>
              <w:rPr>
                <w:color w:val="262B33"/>
                <w:sz w:val="16"/>
              </w:rPr>
              <w:t>External concurrent-review request prompting the continued-stay determination</w:t>
            </w:r>
          </w:p>
        </w:tc>
        <w:tc>
          <w:tcPr>
            <w:tcW w:type="dxa" w:w="1440"/>
          </w:tcPr>
          <w:p>
            <w:r>
              <w:rPr>
                <w:color w:val="262B33"/>
                <w:sz w:val="16"/>
              </w:rPr>
              <w:t>Task 6</w:t>
            </w:r>
          </w:p>
        </w:tc>
      </w:tr>
      <w:tr>
        <w:tc>
          <w:tcPr>
            <w:tcW w:type="dxa" w:w="1440"/>
          </w:tcPr>
          <w:p>
            <w:r>
              <w:rPr>
                <w:color w:val="262B33"/>
                <w:sz w:val="16"/>
              </w:rPr>
              <w:t>7</w:t>
            </w:r>
          </w:p>
        </w:tc>
        <w:tc>
          <w:tcPr>
            <w:tcW w:type="dxa" w:w="1440"/>
          </w:tcPr>
          <w:p>
            <w:r>
              <w:rPr>
                <w:color w:val="262B33"/>
                <w:sz w:val="16"/>
              </w:rPr>
              <w:t>E1-T7</w:t>
            </w:r>
          </w:p>
        </w:tc>
        <w:tc>
          <w:tcPr>
            <w:tcW w:type="dxa" w:w="1440"/>
          </w:tcPr>
          <w:p>
            <w:r>
              <w:rPr>
                <w:color w:val="262B33"/>
                <w:sz w:val="13"/>
              </w:rPr>
              <w:t>quality_abstraction_worksheet_06042026.docx</w:t>
            </w:r>
          </w:p>
        </w:tc>
        <w:tc>
          <w:tcPr>
            <w:tcW w:type="dxa" w:w="1440"/>
          </w:tcPr>
          <w:p>
            <w:r>
              <w:rPr>
                <w:color w:val="262B33"/>
                <w:sz w:val="16"/>
              </w:rPr>
              <w:t>06/04/2026</w:t>
            </w:r>
          </w:p>
        </w:tc>
        <w:tc>
          <w:tcPr>
            <w:tcW w:type="dxa" w:w="1440"/>
          </w:tcPr>
          <w:p>
            <w:r>
              <w:rPr>
                <w:color w:val="262B33"/>
                <w:sz w:val="16"/>
              </w:rPr>
              <w:t>Custom Made</w:t>
            </w:r>
          </w:p>
        </w:tc>
        <w:tc>
          <w:tcPr>
            <w:tcW w:type="dxa" w:w="1440"/>
          </w:tcPr>
          <w:p>
            <w:r>
              <w:rPr>
                <w:color w:val="262B33"/>
                <w:sz w:val="16"/>
              </w:rPr>
              <w:t>Diabetes measure abstraction form with fields to value, exclude, or mark undetermined</w:t>
            </w:r>
          </w:p>
        </w:tc>
        <w:tc>
          <w:tcPr>
            <w:tcW w:type="dxa" w:w="1440"/>
          </w:tcPr>
          <w:p>
            <w:r>
              <w:rPr>
                <w:color w:val="262B33"/>
                <w:sz w:val="16"/>
              </w:rPr>
              <w:t>Task 7</w:t>
            </w:r>
          </w:p>
        </w:tc>
      </w:tr>
      <w:tr>
        <w:tc>
          <w:tcPr>
            <w:tcW w:type="dxa" w:w="1440"/>
          </w:tcPr>
          <w:p>
            <w:r>
              <w:rPr>
                <w:color w:val="262B33"/>
                <w:sz w:val="16"/>
              </w:rPr>
              <w:t>8</w:t>
            </w:r>
          </w:p>
        </w:tc>
        <w:tc>
          <w:tcPr>
            <w:tcW w:type="dxa" w:w="1440"/>
          </w:tcPr>
          <w:p>
            <w:r>
              <w:rPr>
                <w:color w:val="262B33"/>
                <w:sz w:val="16"/>
              </w:rPr>
              <w:t>E1-T9</w:t>
            </w:r>
          </w:p>
        </w:tc>
        <w:tc>
          <w:tcPr>
            <w:tcW w:type="dxa" w:w="1440"/>
          </w:tcPr>
          <w:p>
            <w:r>
              <w:rPr>
                <w:color w:val="262B33"/>
                <w:sz w:val="13"/>
              </w:rPr>
              <w:t>safety_event_intake_summary_06112026.docx</w:t>
            </w:r>
          </w:p>
        </w:tc>
        <w:tc>
          <w:tcPr>
            <w:tcW w:type="dxa" w:w="1440"/>
          </w:tcPr>
          <w:p>
            <w:r>
              <w:rPr>
                <w:color w:val="262B33"/>
                <w:sz w:val="16"/>
              </w:rPr>
              <w:t>06/11/2026</w:t>
            </w:r>
          </w:p>
        </w:tc>
        <w:tc>
          <w:tcPr>
            <w:tcW w:type="dxa" w:w="1440"/>
          </w:tcPr>
          <w:p>
            <w:r>
              <w:rPr>
                <w:color w:val="262B33"/>
                <w:sz w:val="16"/>
              </w:rPr>
              <w:t>Custom Made</w:t>
            </w:r>
          </w:p>
        </w:tc>
        <w:tc>
          <w:tcPr>
            <w:tcW w:type="dxa" w:w="1440"/>
          </w:tcPr>
          <w:p>
            <w:r>
              <w:rPr>
                <w:color w:val="262B33"/>
                <w:sz w:val="16"/>
              </w:rPr>
              <w:t>Safety event intake describing the missed-offloading event for review</w:t>
            </w:r>
          </w:p>
        </w:tc>
        <w:tc>
          <w:tcPr>
            <w:tcW w:type="dxa" w:w="1440"/>
          </w:tcPr>
          <w:p>
            <w:r>
              <w:rPr>
                <w:color w:val="262B33"/>
                <w:sz w:val="16"/>
              </w:rPr>
              <w:t>Task 9</w:t>
            </w:r>
          </w:p>
        </w:tc>
      </w:tr>
      <w:tr>
        <w:tc>
          <w:tcPr>
            <w:tcW w:type="dxa" w:w="1440"/>
          </w:tcPr>
          <w:p>
            <w:r>
              <w:rPr>
                <w:color w:val="262B33"/>
                <w:sz w:val="16"/>
              </w:rPr>
              <w:t>9</w:t>
            </w:r>
          </w:p>
        </w:tc>
        <w:tc>
          <w:tcPr>
            <w:tcW w:type="dxa" w:w="1440"/>
          </w:tcPr>
          <w:p>
            <w:r>
              <w:rPr>
                <w:color w:val="262B33"/>
                <w:sz w:val="16"/>
              </w:rPr>
              <w:t>E1-T10</w:t>
            </w:r>
          </w:p>
        </w:tc>
        <w:tc>
          <w:tcPr>
            <w:tcW w:type="dxa" w:w="1440"/>
          </w:tcPr>
          <w:p>
            <w:r>
              <w:rPr>
                <w:color w:val="262B33"/>
                <w:sz w:val="13"/>
              </w:rPr>
              <w:t>started_discharge_instruction_draft_05212026.docx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Same-author discharge instruction draft, complete except a true placeholder on the offloading and activity section</w:t>
            </w:r>
          </w:p>
        </w:tc>
        <w:tc>
          <w:tcPr>
            <w:tcW w:type="dxa" w:w="1440"/>
          </w:tcPr>
          <w:p>
            <w:r>
              <w:rPr>
                <w:color w:val="262B33"/>
                <w:sz w:val="16"/>
              </w:rP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WS1</w:t>
            </w:r>
          </w:p>
        </w:tc>
        <w:tc>
          <w:tcPr>
            <w:tcW w:type="dxa" w:w="1440"/>
          </w:tcPr>
          <w:p>
            <w:r>
              <w:rPr>
                <w:color w:val="262B33"/>
                <w:sz w:val="13"/>
              </w:rPr>
              <w:t>diabetes_foot_care_education_05212026.docx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Generic diabetic foot-care education handout</w:t>
            </w:r>
          </w:p>
        </w:tc>
        <w:tc>
          <w:tcPr>
            <w:tcW w:type="dxa" w:w="1440"/>
          </w:tcPr>
          <w:p>
            <w:r>
              <w:rPr>
                <w:color w:val="262B33"/>
                <w:sz w:val="16"/>
              </w:rPr>
              <w:t>Removing it changes no medication, coding, appeal, or disposition answer</w:t>
            </w:r>
          </w:p>
        </w:tc>
      </w:tr>
      <w:tr>
        <w:tc>
          <w:tcPr>
            <w:tcW w:type="dxa" w:w="1440"/>
          </w:tcPr>
          <w:p>
            <w:r>
              <w:rPr>
                <w:color w:val="262B33"/>
                <w:sz w:val="16"/>
              </w:rPr>
              <w:t>2</w:t>
            </w:r>
          </w:p>
        </w:tc>
        <w:tc>
          <w:tcPr>
            <w:tcW w:type="dxa" w:w="1440"/>
          </w:tcPr>
          <w:p>
            <w:r>
              <w:rPr>
                <w:color w:val="262B33"/>
                <w:sz w:val="16"/>
              </w:rPr>
              <w:t>WS2</w:t>
            </w:r>
          </w:p>
        </w:tc>
        <w:tc>
          <w:tcPr>
            <w:tcW w:type="dxa" w:w="1440"/>
          </w:tcPr>
          <w:p>
            <w:r>
              <w:rPr>
                <w:color w:val="262B33"/>
                <w:sz w:val="13"/>
              </w:rPr>
              <w:t>general_discharge_rights_notice_05212026.docx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Standard discharge rights and appeal-rights notice, generic</w:t>
            </w:r>
          </w:p>
        </w:tc>
        <w:tc>
          <w:tcPr>
            <w:tcW w:type="dxa" w:w="1440"/>
          </w:tcPr>
          <w:p>
            <w:r>
              <w:rPr>
                <w:color w:val="262B33"/>
                <w:sz w:val="16"/>
              </w:rPr>
              <w:t>Removing it changes no correct answer</w:t>
            </w:r>
          </w:p>
        </w:tc>
      </w:tr>
      <w:tr>
        <w:tc>
          <w:tcPr>
            <w:tcW w:type="dxa" w:w="1440"/>
          </w:tcPr>
          <w:p>
            <w:r>
              <w:rPr>
                <w:color w:val="262B33"/>
                <w:sz w:val="16"/>
              </w:rPr>
              <w:t>3</w:t>
            </w:r>
          </w:p>
        </w:tc>
        <w:tc>
          <w:tcPr>
            <w:tcW w:type="dxa" w:w="1440"/>
          </w:tcPr>
          <w:p>
            <w:r>
              <w:rPr>
                <w:color w:val="262B33"/>
                <w:sz w:val="16"/>
              </w:rPr>
              <w:t>WS3</w:t>
            </w:r>
          </w:p>
        </w:tc>
        <w:tc>
          <w:tcPr>
            <w:tcW w:type="dxa" w:w="1440"/>
          </w:tcPr>
          <w:p>
            <w:r>
              <w:rPr>
                <w:color w:val="262B33"/>
                <w:sz w:val="13"/>
              </w:rPr>
              <w:t>nursing_shift_narrative_05182026.docx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Generic shift narratives, turns, intake, family at bedside, no load-bearing fact</w:t>
            </w:r>
          </w:p>
        </w:tc>
        <w:tc>
          <w:tcPr>
            <w:tcW w:type="dxa" w:w="1440"/>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Self-Containment Principle: </w:t>
            </w:r>
            <w:r>
              <w:rPr>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