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10080"/>
            <w:gridSpan w:val="5"/>
            <w:shd w:val="clear" w:color="auto" w:fill="4472C4"/>
          </w:tcPr>
          <w:p>
            <w:pPr>
              <w:jc w:val="center"/>
            </w:pPr>
            <w:r>
              <w:rPr>
                <w:b/>
                <w:color w:val="FFFFFF"/>
                <w:sz w:val="32"/>
              </w:rPr>
              <w:t>HEALTHCARE_CardiorenalTransition_Marva</w:t>
            </w:r>
          </w:p>
        </w:tc>
      </w:tr>
      <w:tr>
        <w:tc>
          <w:tcPr>
            <w:tcW w:type="dxa" w:w="10080"/>
            <w:gridSpan w:val="5"/>
            <w:shd w:val="clear" w:color="auto" w:fill="D6E4F0"/>
          </w:tcPr>
          <w:p>
            <w:pPr>
              <w:jc w:val="center"/>
            </w:pPr>
            <w:r>
              <w:rPr>
                <w:b/>
                <w:color w:val="262B33"/>
                <w:sz w:val="20"/>
              </w:rPr>
              <w:t>Navigating Transition Readiness and Discharge Safety in Decompensated Heart Failure with Cardiorenal and Respiratory Complexity</w:t>
            </w:r>
          </w:p>
        </w:tc>
      </w:tr>
      <w:tr>
        <w:tc>
          <w:tcPr>
            <w:tcW w:type="dxa" w:w="10080"/>
            <w:gridSpan w:val="5"/>
            <w:shd w:val="clear" w:color="auto" w:fill="D6E4F0"/>
          </w:tcPr>
          <w:p>
            <w:pPr>
              <w:jc w:val="center"/>
            </w:pPr>
            <w:r>
              <w:rPr>
                <w:color w:val="262B33"/>
                <w:sz w:val="16"/>
              </w:rPr>
              <w:t>Patient: Marva Lydell (fictional)</w:t>
            </w:r>
          </w:p>
        </w:tc>
      </w:tr>
      <w:tr>
        <w:tc>
          <w:tcPr>
            <w:tcW w:type="dxa" w:w="10080"/>
            <w:gridSpan w:val="5"/>
            <w:shd w:val="clear" w:color="auto" w:fill="D6E4F0"/>
          </w:tcPr>
          <w:p>
            <w:pPr>
              <w:jc w:val="center"/>
            </w:pPr>
            <w:r>
              <w:rPr>
                <w:color w:val="262B33"/>
                <w:sz w:val="16"/>
              </w:rPr>
              <w:t>World Type: Typical Clinical</w:t>
            </w:r>
          </w:p>
        </w:tc>
      </w:tr>
      <w:tr>
        <w:tc>
          <w:tcPr>
            <w:tcW w:type="dxa" w:w="10080"/>
            <w:gridSpan w:val="5"/>
            <w:shd w:val="clear" w:color="auto" w:fill="D6E4F0"/>
          </w:tcPr>
          <w:p>
            <w:pPr>
              <w:jc w:val="center"/>
            </w:pPr>
            <w:r>
              <w:rPr>
                <w:color w:val="262B33"/>
                <w:sz w:val="16"/>
              </w:rPr>
              <w:t>Setting: Inpatient hospital medicine with post-discharge administrative and transition encounters</w:t>
            </w:r>
          </w:p>
        </w:tc>
      </w:tr>
      <w:tr>
        <w:tc>
          <w:tcPr>
            <w:tcW w:type="dxa" w:w="10080"/>
            <w:gridSpan w:val="5"/>
            <w:shd w:val="clear" w:color="auto" w:fill="D6E4F0"/>
          </w:tcPr>
          <w:p>
            <w:pPr>
              <w:jc w:val="center"/>
            </w:pPr>
            <w:r>
              <w:rPr>
                <w:color w:val="262B33"/>
                <w:sz w:val="16"/>
              </w:rPr>
              <w:t>Workflows: Claims Appeal, Medication Reconciliation, Utilization Review, Transition Documentation, Acute Care Discharge Planning, Specialist Referral, Root Cause Analysis, Quality Abstraction, Clinical Documentation Query</w:t>
            </w:r>
          </w:p>
        </w:tc>
      </w:tr>
      <w:tr>
        <w:tc>
          <w:tcPr>
            <w:tcW w:type="dxa" w:w="1872"/>
            <w:shd w:val="clear" w:color="auto" w:fill="D6E4F0"/>
          </w:tcPr>
          <w:p>
            <w:pPr>
              <w:jc w:val="center"/>
            </w:pPr>
            <w:r>
              <w:rPr>
                <w:color w:val="262B33"/>
                <w:sz w:val="16"/>
              </w:rPr>
              <w:t>Hospital Medicine</w:t>
            </w:r>
          </w:p>
        </w:tc>
        <w:tc>
          <w:tcPr>
            <w:tcW w:type="dxa" w:w="1872"/>
            <w:shd w:val="clear" w:color="auto" w:fill="D6E4F0"/>
          </w:tcPr>
          <w:p>
            <w:pPr>
              <w:jc w:val="center"/>
            </w:pPr>
            <w:r>
              <w:rPr>
                <w:color w:val="262B33"/>
                <w:sz w:val="16"/>
              </w:rPr>
              <w:t>10 Tasks</w:t>
            </w:r>
          </w:p>
        </w:tc>
        <w:tc>
          <w:tcPr>
            <w:tcW w:type="dxa" w:w="1872"/>
            <w:shd w:val="clear" w:color="auto" w:fill="D6E4F0"/>
          </w:tcPr>
          <w:p>
            <w:pPr>
              <w:jc w:val="center"/>
            </w:pPr>
            <w:r>
              <w:rPr>
                <w:color w:val="262B33"/>
                <w:sz w:val="16"/>
              </w:rPr>
              <w:t>Project Sanctum</w:t>
            </w:r>
          </w:p>
        </w:tc>
        <w:tc>
          <w:tcPr>
            <w:tcW w:type="dxa" w:w="1872"/>
            <w:shd w:val="clear" w:color="auto" w:fill="D6E4F0"/>
          </w:tcPr>
          <w:p>
            <w:pPr>
              <w:jc w:val="center"/>
            </w:pPr>
            <w:r>
              <w:rPr>
                <w:color w:val="262B33"/>
                <w:sz w:val="16"/>
              </w:rPr>
              <w:t>Version 1.0</w:t>
            </w:r>
          </w:p>
        </w:tc>
        <w:tc>
          <w:tcPr>
            <w:tcW w:type="dxa" w:w="1872"/>
            <w:shd w:val="clear" w:color="auto" w:fill="D6E4F0"/>
          </w:tcPr>
          <w:p>
            <w:pPr>
              <w:jc w:val="center"/>
            </w:pPr>
            <w:r>
              <w:rPr>
                <w:color w:val="262B33"/>
                <w:sz w:val="16"/>
              </w:rPr>
              <w:t>06/27/2025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completion task,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June 13, 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June 19, 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completion</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ten approved workflows across eight structural categories, with Task 1 as the integration anchor.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Completion</w:t>
      </w:r>
    </w:p>
    <w:p>
      <w:pPr/>
      <w:r>
        <w:rPr>
          <w:color w:val="262B33"/>
          <w:sz w:val="16"/>
        </w:rPr>
        <w:t>Capability: completion with true placeholders on the scored decisions, with a buried held-medication line.</w:t>
      </w:r>
    </w:p>
    <w:p>
      <w:pPr/>
      <w:r>
        <w:rPr>
          <w:color w:val="262B33"/>
          <w:sz w:val="16"/>
        </w:rPr>
        <w:t>Workflow: Medical Transcription and Clinical Documentation Completion, requested by the discharging attending.</w:t>
      </w:r>
    </w:p>
    <w:p>
      <w:pPr/>
      <w:r>
        <w:rPr>
          <w:color w:val="262B33"/>
          <w:sz w:val="19"/>
        </w:rPr>
        <w:t>Anchor: 06/21/2025 at 08:30. Priority: P0. Difficulty: high. Time estimate: 25 to 35 minutes, completing the placeholders from the respiratory, renal, and medication documentation.</w:t>
      </w:r>
    </w:p>
    <w:p>
      <w:pPr/>
      <w:r>
        <w:rPr>
          <w:color w:val="262B33"/>
          <w:sz w:val="16"/>
        </w:rPr>
        <w:t>Expected Output: a finalized transition-of-care note completed from a started draft. Format: a finalized transition-of-care note. Register: hospitalist documentation. Length: 400 to 650 words. The started draft is complete except the oxygen, fluid-status, and follow-up-ownership sections, which are left as true placeholders to complete from the chart; correct responses fill them with the documented exertional-oxygen reality and portable-oxygen requirement, the still-active diuresis and renal picture, and the deferred held-medication restarts assigned to named follow-up owners, and they do not rubber-stamp the draft's background discharge-medication line that would silently resume the held agents. Nothing the chart leaves open is closed. Grader anchors: the oxygen section completed with the exertional desaturation and portable-oxygen need, not a routine clearance; the held agents kept as explicit deferred restarts with owners, not silently resumed; volume and follow-up ownership left open where the chart is open; the home sliding-scale insulin de-escalated; the rest of the draft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A background discharge-medication line silently resumes the held agents (shared world-level trap; primary here)</w:t>
            </w:r>
          </w:p>
        </w:tc>
        <w:tc>
          <w:tcPr>
            <w:tcW w:type="dxa" w:w="5040"/>
          </w:tcPr>
          <w:p>
            <w:r>
              <w:rPr>
                <w:color w:val="262B33"/>
                <w:sz w:val="16"/>
              </w:rPr>
              <w:t>Keep empagliflozin, spironolactone, losartan, metformin as explicit deferred restarts assigned to nephrology and primary care, not resumed by default (06/13, 06/15; hold orders, nephrology note)</w:t>
            </w:r>
          </w:p>
        </w:tc>
      </w:tr>
      <w:tr>
        <w:tc>
          <w:tcPr>
            <w:tcW w:type="dxa" w:w="5040"/>
          </w:tcPr>
          <w:p>
            <w:r>
              <w:rPr>
                <w:color w:val="262B33"/>
                <w:sz w:val="16"/>
              </w:rPr>
              <w:t>Oxygen section filled with a routine clearance</w:t>
            </w:r>
          </w:p>
        </w:tc>
        <w:tc>
          <w:tcPr>
            <w:tcW w:type="dxa" w:w="5040"/>
          </w:tcPr>
          <w:p>
            <w:r>
              <w:rPr>
                <w:color w:val="262B33"/>
                <w:sz w:val="16"/>
              </w:rPr>
              <w:t>Complete it with the documented exertional desaturation and the portable-oxygen requirement (06/17; respiratory therapy walk test, OT)</w:t>
            </w:r>
          </w:p>
        </w:tc>
      </w:tr>
      <w:tr>
        <w:tc>
          <w:tcPr>
            <w:tcW w:type="dxa" w:w="5040"/>
          </w:tcPr>
          <w:p>
            <w:r>
              <w:rPr>
                <w:color w:val="262B33"/>
                <w:sz w:val="16"/>
              </w:rPr>
              <w:t>A still-open decision asserted as closed</w:t>
            </w:r>
          </w:p>
        </w:tc>
        <w:tc>
          <w:tcPr>
            <w:tcW w:type="dxa" w:w="5040"/>
          </w:tcPr>
          <w:p>
            <w:r>
              <w:rPr>
                <w:color w:val="262B33"/>
                <w:sz w:val="16"/>
              </w:rPr>
              <w:t>Leave volume status and follow-up ownership open where the chart is open (full chart)</w:t>
            </w:r>
          </w:p>
        </w:tc>
      </w:tr>
      <w:tr>
        <w:tc>
          <w:tcPr>
            <w:tcW w:type="dxa" w:w="5040"/>
          </w:tcPr>
          <w:p>
            <w:r>
              <w:rPr>
                <w:color w:val="262B33"/>
                <w:sz w:val="16"/>
              </w:rPr>
              <w:t>Home sliding-scale insulin carried into the discharge regimen by default</w:t>
            </w:r>
          </w:p>
        </w:tc>
        <w:tc>
          <w:tcPr>
            <w:tcW w:type="dxa" w:w="5040"/>
          </w:tcPr>
          <w:p>
            <w:r>
              <w:rPr>
                <w:color w:val="262B33"/>
                <w:sz w:val="16"/>
              </w:rPr>
              <w:t>De-escalate the inpatient prandial sliding scale to the home regimen the record supports (MAR, endocrine note)</w:t>
            </w:r>
          </w:p>
        </w:tc>
      </w:tr>
      <w:tr>
        <w:tc>
          <w:tcPr>
            <w:tcW w:type="dxa" w:w="5040"/>
          </w:tcPr>
          <w:p>
            <w:r>
              <w:rPr>
                <w:color w:val="262B33"/>
                <w:sz w:val="16"/>
              </w:rPr>
              <w:t>Draft content altered beyond the placeholders</w:t>
            </w:r>
          </w:p>
        </w:tc>
        <w:tc>
          <w:tcPr>
            <w:tcW w:type="dxa" w:w="5040"/>
          </w:tcPr>
          <w:p>
            <w:r>
              <w:rPr>
                <w:color w:val="262B33"/>
                <w:sz w:val="16"/>
              </w:rPr>
              <w:t>Finalize the rest of the same-author draft faithfully (E1-T4 draft)</w:t>
            </w:r>
          </w:p>
        </w:tc>
      </w:tr>
    </w:tbl>
    <w:p>
      <w:pPr/>
      <w:r>
        <w:rPr>
          <w:color w:val="262B33"/>
          <w:sz w:val="16"/>
        </w:rPr>
        <w:t>Task-level files: E1-T4 Started Transition-of-Care Note Draft (same-author, true placeholders on the oxygen, fluid-status, and follow-up-ownership sections).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Lydell's transition-of-care note but left the oxygen, fluid status, and follow-up sections open. Please finish it from her chart, fill those parts in with where things actually stand, and leave anything still undecided as undecided so I can sign it.</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specialist referral handoff completed as a true placeholder that routes open decisions to owners.</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completed from a started draft that routes the open decisions to cardiology, nephrology, and primary care. Format: a specialist referral letter with a follow-up routing block. Register: referral and handoff. Length: 450 to 700 words. The started letter is a true placeholder and open handoff;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started letter reads as a settled plan (shared world-level trap; primary here)</w:t>
            </w:r>
          </w:p>
        </w:tc>
        <w:tc>
          <w:tcPr>
            <w:tcW w:type="dxa" w:w="5040"/>
          </w:tcPr>
          <w:p>
            <w:r>
              <w:rPr>
                <w:color w:val="262B33"/>
                <w:sz w:val="16"/>
              </w:rPr>
              <w:t>Keep the handoff a true open routing; do not assert the cardiorenal plan is finalized (06/22; started letter E1-T6)</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Started Cardiorenal Referral Letter Draft (same-author, true placeholder open handoff).</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and I started the letter but left the plan sections open. Finish it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The two completion drafts (the transition note and the referral letter) are same-author task-level files with true placeholders on the scored sections.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2026-06-20):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(001_ED_PHYSICIAN_NOTE.docx; ED physician note)</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(002_ADMISSION_HP.docx; inpatient admission H and P)</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(061_RESPIRATORY_THERAPY_NOTE.docx; respiratory therapy note, oxygen titration and walk test)</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(063_CASE_MANAGEMENT_NOTE.docx; case management and discharge planning note)</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(045_ECHOCARDIOGRAM_REPORT.docx; echocardiogram report)</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(044_RADIOLOGY_REPORT.docx; radiology report)</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(048_ECG_INTERPRETATION.docx; 12-lead ECG report)</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Writer-produced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(012_EMR_MEDICATION_LIST.docx; system-generated EMR medication list)</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(024_OFFICE_VISIT_NOTE.docx; outpatient office visit note)</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(045_ECHOCARDIOGRAM_REPORT.docx; echocardiogram report)</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(062_SOCIAL_WORK_NOTE.docx; social work note)</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started_transition_note_draft_06212025.docx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Same-author started transition note, complete except true placeholders on oxygen, fluid status, and follow-up ownership, with a reassuring background discharge-medication line</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started_cardiorenal_referral_letter_draft_06222025.docx</w:t>
            </w:r>
          </w:p>
        </w:tc>
        <w:tc>
          <w:tcPr>
            <w:tcW w:type="dxa" w:w="1440"/>
          </w:tcPr>
          <w:p>
            <w:r>
              <w:rPr>
                <w:color w:val="262B33"/>
                <w:sz w:val="16"/>
              </w:rPr>
              <w:t>06/22/2025</w:t>
            </w:r>
          </w:p>
        </w:tc>
        <w:tc>
          <w:tcPr>
            <w:tcW w:type="dxa" w:w="3096"/>
          </w:tcPr>
          <w:p>
            <w:r>
              <w:rPr>
                <w:color w:val="262B33"/>
                <w:sz w:val="16"/>
              </w:rPr>
              <w:t>Custom Made (Custom_Referral_Letter_Template.docx)</w:t>
            </w:r>
          </w:p>
        </w:tc>
        <w:tc>
          <w:tcPr>
            <w:tcW w:type="dxa" w:w="3485"/>
          </w:tcPr>
          <w:p>
            <w:r>
              <w:rPr>
                <w:color w:val="262B33"/>
                <w:sz w:val="16"/>
              </w:rPr>
              <w:t>Same-author started cardiorenal referral letter, a true placeholder open handoff with the plan sections left open</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(058_PATIENT_EDUCATION_DOCUMENTATION.docx; patient education documentation)</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(009_INFORMED_CONSENT.docx; informed consent documentation)</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The two completion tasks carry true placeholders rather than planted-false closures, so the model is tested on finishing open work correctly, never on distrusting a falsehood in the patient's own record.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