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pPr>
      <w:r>
        <w:rPr>
          <w:rFonts w:ascii="Arial" w:hAnsi="Arial"/>
          <w:color w:val="808080"/>
          <w:sz w:val="16"/>
        </w:rPr>
        <w:t>_______________________________________________________________________________________________</w:t>
      </w:r>
    </w:p>
    <w:p>
      <w:pPr>
        <w:spacing w:after="40" w:before="0"/>
        <w:jc w:val="center"/>
      </w:pPr>
      <w:r>
        <w:rPr>
          <w:rFonts w:ascii="Arial" w:hAnsi="Arial"/>
          <w:b/>
          <w:i w:val="0"/>
          <w:sz w:val="28"/>
        </w:rPr>
        <w:t>MERCY VALE REGIONAL MEDICAL CENTER</w:t>
      </w:r>
    </w:p>
    <w:p>
      <w:pPr>
        <w:spacing w:after="20" w:before="0"/>
        <w:jc w:val="center"/>
      </w:pPr>
      <w:r>
        <w:rPr>
          <w:rFonts w:ascii="Arial" w:hAnsi="Arial"/>
          <w:b w:val="0"/>
          <w:i w:val="0"/>
          <w:sz w:val="20"/>
        </w:rPr>
        <w:t>Hospital Medicine / Inpatient Pharmacy</w:t>
      </w:r>
    </w:p>
    <w:p>
      <w:pPr>
        <w:spacing w:after="20" w:before="0"/>
        <w:jc w:val="center"/>
      </w:pPr>
      <w:r>
        <w:rPr>
          <w:rFonts w:ascii="Arial" w:hAnsi="Arial"/>
          <w:b w:val="0"/>
          <w:i w:val="0"/>
          <w:sz w:val="18"/>
        </w:rPr>
        <w:t>5 Harbor Crest Way, Bridgehollow, PA 15211</w:t>
      </w:r>
    </w:p>
    <w:p>
      <w:pPr>
        <w:spacing w:after="80" w:before="0"/>
        <w:jc w:val="center"/>
      </w:pPr>
      <w:r>
        <w:rPr>
          <w:rFonts w:ascii="Arial" w:hAnsi="Arial"/>
          <w:b w:val="0"/>
          <w:i w:val="0"/>
          <w:sz w:val="18"/>
        </w:rPr>
        <w:t>Main: (412) 555-0143  |  Pharmacy: (412) 555-0170</w:t>
      </w:r>
    </w:p>
    <w:p>
      <w:pPr>
        <w:spacing w:after="80" w:before="40"/>
      </w:pPr>
      <w:r>
        <w:rPr>
          <w:rFonts w:ascii="Arial" w:hAnsi="Arial"/>
          <w:color w:val="808080"/>
          <w:sz w:val="16"/>
        </w:rPr>
        <w:t>_______________________________________________________________________________________________</w:t>
      </w:r>
    </w:p>
    <w:p>
      <w:pPr>
        <w:spacing w:after="160" w:before="40"/>
        <w:jc w:val="center"/>
      </w:pPr>
      <w:r>
        <w:rPr>
          <w:rFonts w:ascii="Arial" w:hAnsi="Arial"/>
          <w:b/>
          <w:i w:val="0"/>
          <w:sz w:val="24"/>
        </w:rPr>
        <w:t>MEMORANDUM — DISCHARGE MEDICATION RECONCILIATION REQUEST</w:t>
      </w:r>
    </w:p>
    <w:p>
      <w:pPr>
        <w:spacing w:after="40" w:before="0"/>
      </w:pPr>
      <w:r>
        <w:t>Date: 05/24/2026</w:t>
      </w:r>
    </w:p>
    <w:p>
      <w:pPr>
        <w:spacing w:after="40" w:before="0"/>
      </w:pPr>
      <w:r>
        <w:rPr>
          <w:rFonts w:ascii="Arial" w:hAnsi="Arial"/>
          <w:b/>
          <w:i w:val="0"/>
          <w:sz w:val="19"/>
        </w:rPr>
        <w:t xml:space="preserve">To: </w:t>
      </w:r>
      <w:r>
        <w:rPr>
          <w:rFonts w:ascii="Arial" w:hAnsi="Arial"/>
          <w:b w:val="0"/>
          <w:i w:val="0"/>
          <w:sz w:val="19"/>
        </w:rPr>
        <w:t>Covering Discharge Reconciliation Pharmacist; Covering Hospitalist of Record</w:t>
      </w:r>
    </w:p>
    <w:p>
      <w:pPr>
        <w:spacing w:after="20" w:before="0"/>
      </w:pPr>
      <w:r>
        <w:rPr>
          <w:rFonts w:ascii="Arial" w:hAnsi="Arial"/>
          <w:b/>
          <w:i w:val="0"/>
          <w:sz w:val="19"/>
        </w:rPr>
        <w:t xml:space="preserve">From: </w:t>
      </w:r>
      <w:r>
        <w:rPr>
          <w:rFonts w:ascii="Arial" w:hAnsi="Arial"/>
          <w:b w:val="0"/>
          <w:i w:val="0"/>
          <w:sz w:val="19"/>
        </w:rPr>
        <w:t>Elian Vossmere, MD — Attending Hospitalist</w:t>
      </w:r>
    </w:p>
    <w:p>
      <w:pPr>
        <w:spacing w:after="40" w:before="0"/>
      </w:pPr>
      <w:r>
        <w:rPr>
          <w:rFonts w:ascii="Arial" w:hAnsi="Arial"/>
          <w:b/>
          <w:i w:val="0"/>
          <w:sz w:val="19"/>
        </w:rPr>
      </w:r>
      <w:r>
        <w:rPr>
          <w:rFonts w:ascii="Arial" w:hAnsi="Arial"/>
          <w:b w:val="0"/>
          <w:i w:val="0"/>
          <w:sz w:val="19"/>
        </w:rPr>
        <w:t xml:space="preserve">           Ezekiel Marlott, PharmD, BCPS — Inpatient Pharmacy</w:t>
      </w:r>
    </w:p>
    <w:p>
      <w:pPr>
        <w:spacing w:after="40" w:before="0"/>
      </w:pPr>
      <w:r>
        <w:rPr>
          <w:rFonts w:ascii="Arial" w:hAnsi="Arial"/>
          <w:b/>
          <w:i w:val="0"/>
          <w:sz w:val="19"/>
        </w:rPr>
        <w:t xml:space="preserve">Re: </w:t>
      </w:r>
      <w:r>
        <w:rPr>
          <w:rFonts w:ascii="Arial" w:hAnsi="Arial"/>
          <w:b w:val="0"/>
          <w:i w:val="0"/>
          <w:sz w:val="19"/>
        </w:rPr>
        <w:t>Korvin Merrow  |  MRN KM-6427819  |  Room 5W-318  |  DOB 02/18/1964</w:t>
      </w:r>
    </w:p>
    <w:p>
      <w:pPr>
        <w:spacing w:after="80" w:before="0"/>
      </w:pPr>
      <w:r>
        <w:rPr>
          <w:rFonts w:ascii="Arial" w:hAnsi="Arial"/>
          <w:b/>
          <w:i w:val="0"/>
          <w:sz w:val="19"/>
        </w:rPr>
        <w:t xml:space="preserve">Subject: </w:t>
      </w:r>
      <w:r>
        <w:rPr>
          <w:rFonts w:ascii="Arial" w:hAnsi="Arial"/>
          <w:b w:val="0"/>
          <w:i w:val="0"/>
          <w:sz w:val="19"/>
        </w:rPr>
        <w:t>Request for discharge medication reconciliation and medication-safety review</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PATIENT CONTEXT</w:t>
      </w:r>
    </w:p>
    <w:p>
      <w:pPr>
        <w:spacing w:after="80" w:before="0"/>
      </w:pPr>
      <w:r>
        <w:t>Mr. Korvin Merrow is a 62-year-old male admitted 05/18/2026 with suspected urinary-source infection and sepsis physiology, AKI-on-CKD against a stage 3 CKD baseline, and a multi-day history of progressive weakness, poor intake, and a near-fall at home. Comorbidities include HFrEF, CAD with remote PCI, hypertension, hyperlipidemia, type 2 diabetes with diabetic peripheral neuropathy, OSA, polymyalgia rheumatica with chronic steroid exposure, anemia of CKD, steroid-related osteopenia, GERD, and chronic constipation tendency. Allergy: lisinopril (cough). The home regimen comprises 19 chronic items, several of which are hemodynamically and renally active. Prednisone provenance remains unresolved across patient recollection, family report, pharmacy fill history, and outpatient rheumatology intent. Planned discharge date is 05/24/2026.</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SPECIFIC REQUEST</w:t>
      </w:r>
    </w:p>
    <w:p>
      <w:pPr>
        <w:spacing w:after="80" w:before="0"/>
      </w:pPr>
      <w:r>
        <w:rPr>
          <w:rFonts w:ascii="Arial" w:hAnsi="Arial"/>
          <w:b w:val="0"/>
          <w:i w:val="0"/>
          <w:sz w:val="19"/>
        </w:rPr>
        <w:t>Please perform a discharge medication reconciliation for Mr. Merrow and return a headed reconciliation note structured by medication disposition. The reviewer is asked to:</w:t>
      </w:r>
    </w:p>
    <w:p>
      <w:pPr>
        <w:spacing w:after="80"/>
        <w:ind w:left="432" w:hanging="432"/>
      </w:pPr>
      <w:r>
        <w:rPr>
          <w:rFonts w:ascii="Arial" w:hAnsi="Arial"/>
          <w:b/>
          <w:sz w:val="19"/>
        </w:rPr>
        <w:t xml:space="preserve">1.  </w:t>
      </w:r>
      <w:r>
        <w:rPr>
          <w:rFonts w:ascii="Arial" w:hAnsi="Arial"/>
          <w:b/>
          <w:sz w:val="19"/>
        </w:rPr>
        <w:t>Reconcile the verified home medication list against the inpatient MAR</w:t>
      </w:r>
      <w:r>
        <w:rPr>
          <w:rFonts w:ascii="Arial" w:hAnsi="Arial"/>
          <w:sz w:val="19"/>
        </w:rPr>
        <w:t xml:space="preserve"> for the full hospital course (HD1–HD6), identifying items held, items continued, items reassessed, and items added for inpatient indications only.</w:t>
      </w:r>
    </w:p>
    <w:p>
      <w:pPr>
        <w:spacing w:after="80"/>
        <w:ind w:left="432" w:hanging="432"/>
      </w:pPr>
      <w:r>
        <w:t>2.  Reconcile prednisone across the available chart sources.</w:t>
      </w:r>
    </w:p>
    <w:p>
      <w:pPr>
        <w:spacing w:after="80"/>
        <w:ind w:left="432" w:hanging="432"/>
      </w:pPr>
      <w:r>
        <w:t>3.  Provide a sequencing recommendation for the cardiorenal regimen based on the available clinical record.</w:t>
      </w:r>
    </w:p>
    <w:p>
      <w:pPr>
        <w:spacing w:after="80"/>
        <w:ind w:left="432" w:hanging="432"/>
      </w:pPr>
      <w:r>
        <w:t>4.  Verify that each medication on the discharge list has documented outpatient indication. Items ordered for inpatient-specific indications should not carry forward without independent discharge justification.</w:t>
      </w:r>
    </w:p>
    <w:p>
      <w:pPr>
        <w:spacing w:after="80"/>
        <w:ind w:left="432" w:hanging="432"/>
      </w:pPr>
      <w:r>
        <w:t>5.  Build a home medication-management safety plan drawing on all relevant inpatient sources in the chart.</w:t>
      </w:r>
    </w:p>
    <w:p>
      <w:pPr>
        <w:spacing w:after="80"/>
        <w:ind w:left="432" w:hanging="432"/>
      </w:pPr>
      <w:r>
        <w:rPr>
          <w:rFonts w:ascii="Arial" w:hAnsi="Arial"/>
          <w:b/>
          <w:sz w:val="19"/>
        </w:rPr>
        <w:t xml:space="preserve">6.  </w:t>
      </w:r>
      <w:r>
        <w:rPr>
          <w:rFonts w:ascii="Arial" w:hAnsi="Arial"/>
          <w:b/>
          <w:sz w:val="19"/>
        </w:rPr>
        <w:t>Include teach-back recommendations</w:t>
      </w:r>
      <w:r>
        <w:rPr>
          <w:rFonts w:ascii="Arial" w:hAnsi="Arial"/>
          <w:sz w:val="19"/>
        </w:rPr>
        <w:t xml:space="preserve"> addressed to the patient and primary family caregiver, with attention to changed items, held-and-not-yet-restarted items, prednisone handling, glycemic regimen, and warning signs.</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REFERENCE DOCUMENTS</w:t>
      </w:r>
    </w:p>
    <w:p>
      <w:pPr>
        <w:spacing w:after="80" w:before="0"/>
      </w:pPr>
      <w:r>
        <w:t>Please draw on the full inpatient record for this hospitalization, including medication reconciliation records, pharmacy fill history, specialist consultation notes and addenda, nursing and therapy observations, family communication records, and the hospitalist progress documentation.</w:t>
      </w:r>
    </w:p>
    <w:p>
      <w:pPr>
        <w:pStyle w:val="ListBullet"/>
        <w:spacing w:after="40"/>
      </w:pPr>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EXPECTED OUTPUT FORMAT</w:t>
      </w:r>
    </w:p>
    <w:p>
      <w:pPr>
        <w:spacing w:after="80" w:before="0"/>
      </w:pPr>
      <w:r>
        <w:t>A headed discharge reconciliation note, written in inpatient pharmacist / hospitalist register, organized by medication disposition (continued / held with restart parameters / dose-modified / inpatient-specific). Target roughly 600 words for the core disposition summary; concise supporting detail for the reconciliation items above may extend beyond that as clinically needed.</w:t>
      </w:r>
    </w:p>
    <w:p>
      <w:pPr>
        <w:spacing w:after="120" w:before="0"/>
      </w:pPr>
      <w:r>
        <w:rPr>
          <w:rFonts w:ascii="Arial" w:hAnsi="Arial"/>
          <w:b w:val="0"/>
          <w:i w:val="0"/>
          <w:sz w:val="19"/>
        </w:rPr>
        <w:t>The note should be co-signed by the reviewing pharmacist and the covering hospitalist before release with the discharge paperwork. Please page Pharmacy at (412) 555-0170 or the Hospital Medicine pager line at (412) 555-0301 with any clarification needed during preparation.</w:t>
      </w:r>
    </w:p>
    <w:p>
      <w:pPr>
        <w:spacing w:after="80" w:before="40"/>
      </w:pPr>
      <w:r>
        <w:rPr>
          <w:rFonts w:ascii="Arial" w:hAnsi="Arial"/>
          <w:color w:val="808080"/>
          <w:sz w:val="16"/>
        </w:rPr>
        <w:t>_______________________________________________________________________________________________</w:t>
      </w:r>
    </w:p>
    <w:p>
      <w:pPr>
        <w:spacing w:after="40" w:before="80"/>
      </w:pPr>
      <w:r>
        <w:rPr>
          <w:rFonts w:ascii="Arial" w:hAnsi="Arial"/>
          <w:b w:val="0"/>
          <w:i/>
          <w:sz w:val="19"/>
        </w:rPr>
        <w:t>Electronically signed:</w:t>
      </w:r>
    </w:p>
    <w:p>
      <w:pPr>
        <w:spacing w:after="40" w:before="0"/>
      </w:pPr>
      <w:r>
        <w:rPr>
          <w:rFonts w:ascii="Arial" w:hAnsi="Arial"/>
          <w:b/>
          <w:i w:val="0"/>
          <w:sz w:val="19"/>
        </w:rPr>
        <w:t>Elian Vossmere, MD</w:t>
      </w:r>
      <w:r>
        <w:rPr>
          <w:rFonts w:ascii="Arial" w:hAnsi="Arial"/>
          <w:b w:val="0"/>
          <w:i w:val="0"/>
          <w:sz w:val="19"/>
        </w:rPr>
        <w:t xml:space="preserve"> — Attending Hospitalist, Hospital Medicine</w:t>
      </w:r>
    </w:p>
    <w:p>
      <w:pPr>
        <w:spacing w:after="120" w:before="0"/>
      </w:pPr>
      <w:r>
        <w:rPr>
          <w:rFonts w:ascii="Arial" w:hAnsi="Arial"/>
          <w:b/>
          <w:i w:val="0"/>
          <w:sz w:val="19"/>
        </w:rPr>
        <w:t>Ezekiel Marlott, PharmD, BCPS</w:t>
      </w:r>
      <w:r>
        <w:rPr>
          <w:rFonts w:ascii="Arial" w:hAnsi="Arial"/>
          <w:b w:val="0"/>
          <w:i w:val="0"/>
          <w:sz w:val="19"/>
        </w:rPr>
        <w:t xml:space="preserve"> — Inpatient Pharmacy / Medication Reconciliation</w:t>
      </w:r>
    </w:p>
    <w:p>
      <w:pPr>
        <w:spacing w:after="80" w:before="40"/>
      </w:pPr>
      <w:r>
        <w:rPr>
          <w:rFonts w:ascii="Arial" w:hAnsi="Arial"/>
          <w:color w:val="808080"/>
          <w:sz w:val="16"/>
        </w:rPr>
        <w:t>_______________________________________________________________________________________________</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