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Discharge Medication Reconciliation Recommendation - Korvin Merrow</w:t>
      </w:r>
    </w:p>
    <w:p>
      <w:r>
        <w:t>This reconciliation is not a copy-forward of the home list, the MAR, or the discharge snapshot. Each medication gets its own disposition, sequenced against renal recovery, potassium, blood pressure reserve, oral intake, glucose pattern, the unresolved prednisone question, and what this family can realistically manage at home.</w:t>
      </w:r>
    </w:p>
    <w:p>
      <w:r>
        <w:t>1. Chronic CAD prevention. Continue aspirin and atorvastatin; nothing this admission contraindicates either. The remote PCI argues for protecting CAD therapy long term but says nothing about restart timing for the renal- and hemodynamic-sensitive agents.</w:t>
      </w:r>
    </w:p>
    <w:p>
      <w:r>
        <w:t>2. Held cardiorenal agents. The admission holds (sacubitril/valsartan, spironolactone, empagliflozin, metformin, furosemide) were appropriate during sepsis physiology, poor intake, and AKI on CKD stage 3. By HD6 creatinine is back near baseline and potassium has settled, so the holds now need active reassessment. That does not mean restarting everything at once.</w:t>
      </w:r>
    </w:p>
    <w:p>
      <w:r>
        <w:t>3. Restart sequencing. Carvedilol: continue or restart cautiously if blood pressure and heart rate tolerate it. Sacubitril/valsartan: staged restart once blood pressure, renal trend, potassium, intake, and follow-up logistics line up. Spironolactone: I would defer; the AKI is too recent and home potassium monitoring is not yet reliable. Furosemide: dose to volume status and weight trend, not reflex. Empagliflozin: hold until he is clearly past the acute illness and eating reliably. Metformin: resume when creatinine is stable near baseline, intake is adequate, and nothing acute remains.</w:t>
      </w:r>
    </w:p>
    <w:p>
      <w:r>
        <w:t>4. Diabetes regimen. Reconcile basal insulin against home use, the inpatient glucose pattern, intake, and his ability to follow instructions at home. Inpatient correctional lispro is not a home regimen; if a different outpatient insulin plan is needed, build it deliberately and teach it.</w:t>
      </w:r>
    </w:p>
    <w:p>
      <w:r>
        <w:t>5. Prednisone. Rheumatology documentation is the best evidence for the intended outpatient taper. The reconciliation note and fill history establish chronic and recent exposure, not actual adherence. Family report and the patient's own recollection help, but they are weaker sources and they do not agree. Do not stop prednisone abruptly, do not write instructions from his memory alone, and name who owns the taper question after discharge. Adrenal suppression is a plausible risk in this chart; it is not a proven diagnosis, and it is not established as the explanation for this admission.</w:t>
      </w:r>
    </w:p>
    <w:p>
      <w:r>
        <w:t>6. Supportive medications. Review gabapentin against cognition, fall risk, and renal function. Alendronate, calcium/vitamin D, pantoprazole, iron, and bowel medications carry forward as chronic supportive therapy; they should not crowd out the high-risk decisions above.</w:t>
      </w:r>
    </w:p>
    <w:p>
      <w:r>
        <w:t>7. Communication and follow-up. The discharge-facing snapshot is a planning aid, not the reconciliation. Put every disposition in writing with its reason. Teach with family present where possible; nursing, OT, and family documentation show medication-management capacity that is improved but fragile under fatigue or complexity. Arrange accountable follow-up for BMP with creatinine and potassium, blood pressure and orthostatic symptoms, glucose checks, heart-failure symptoms, and the steroid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