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Discharge Medication Reconciliation Recommendation - Korvin Merrow</w:t>
      </w:r>
    </w:p>
    <w:p>
      <w:r>
        <w:t>Korvin's discharge medication reconciliation should not be a copy-forward of either the home list or the inpatient MAR. The safer approach is to reconcile the list in stages, using the best available medication sources and the patient's current renal, hemodynamic, and functional status.</w:t>
      </w:r>
    </w:p>
    <w:p>
      <w:r>
        <w:t>Each chronic CAD/HFrEF medication needs a clear discharge decision: continue, restart, hold, or defer, with the reason documented. Aspirin and atorvastatin should generally be continued unless a new contraindication is identified. The remote PCI history supports the importance of chronic CAD prevention, but it does not decide acute restart timing for renal- or hemodynamic-sensitive agents.</w:t>
      </w:r>
    </w:p>
    <w:p>
      <w:r>
        <w:t>The early inpatient holds of sacubitril/valsartan, spironolactone, empagliflozin, metformin, and diuretic therapy were clinically reasonable during acute illness, poor intake, borderline hemodynamics, AKI on CKD stage 3, and initial potassium vulnerability. By HD6, creatinine had improved toward baseline and potassium had improved, so those admission holds should be actively reassessed rather than passively continued. That improvement does not justify restarting every renal- and hemodynamic-sensitive medication at once.</w:t>
      </w:r>
    </w:p>
    <w:p>
      <w:r>
        <w:t>For HFrEF/CAD therapy, carvedilol is reasonable if Korvin is not hypotensive, bradycardic, or symptomatic with position change. Sacubitril/valsartan should wait until renal function, potassium, oral intake, and blood pressure are stable enough to support outpatient monitoring. Spironolactone remains higher risk after AKI because recurrent hyperkalemia would be easy to miss after discharge. Furosemide should be matched to his actual volume picture: weight trend, intake, congestion symptoms, and orthostatic reserve. Empagliflozin should stay off the list until acute illness and poor intake have clearly resolved. Metformin should only return if renal function is stable near baseline and there is no remaining acute-illness contraindication.</w:t>
      </w:r>
    </w:p>
    <w:p>
      <w:r>
        <w:t>Diabetes medications need the same reconciliation discipline. Basal insulin should be reconciled against outpatient use, inpatient glucose pattern, intake, and home ability to follow instructions. Correctional lispro used in the hospital should not be converted into a home regimen unless a separate final outpatient insulin plan is intentionally created and taught.</w:t>
      </w:r>
    </w:p>
    <w:p>
      <w:r>
        <w:t>Prednisone requires special caution. The best source for intended outpatient taper is rheumatology documentation. Medication reconciliation and pharmacy history support chronic and recent exposure, but they do not prove actual adherence. Family report and patient recall are useful context, but neither is strong enough by itself to settle the prednisone history. The discharge medication plan should avoid abrupt prednisone discontinuation, should not rely on the patient's memory alone, and should clearly state the intended prednisone instruction and follow-up owner. The chart supports adrenal-suppression risk as plausible; it does not prove adrenal insufficiency as the sole explanation for the hospitalization.</w:t>
      </w:r>
    </w:p>
    <w:p>
      <w:r>
        <w:t>Gabapentin and other symptom-support medications should be reviewed for cognition, fall risk, renal function, and benefit. Alendronate, calcium/vitamin D, pantoprazole, bowel medications, and iron should be reconciled as chronic supportive therapies without distracting from the high-risk medication decisions.</w:t>
      </w:r>
    </w:p>
    <w:p>
      <w:r>
        <w:t>The discharge-facing plan snapshot is helpful but incomplete. Before discharge, the medication reconciliation should specify, in writing, which medications are continued, restarted, held, dose-adjusted, or deferred, and why. Family should be present for teaching if possible because nursing, OT, and family documentation show improved but still vulnerable medication-management capacity under fatigue or complexity. The plan should include accountable follow-up for BMP/creatinine/potassium, blood pressure or orthostatic symptoms, glucose monitoring, heart-failure symptoms, steroid instructions, and early clinician review.</w:t>
      </w:r>
    </w:p>
    <w:p>
      <w:r>
        <w:t>This answer leaves room for more than one defensible final medication sequence. The key safety requirement is that the sequence be intentional, monitored, source-aware, and clearly communicated rather than an automatic restart, an automatic permanent hold, or a prednisone decision based on low-authority recollection.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