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pPr>
              <w:spacing w:after="0"/>
            </w:pPr>
            <w:r>
              <w:rPr>
                <w:rFonts w:ascii="Arial" w:hAnsi="Arial" w:cs="Arial"/>
                <w:b/>
                <w:i w:val="0"/>
                <w:color w:val="1F3864"/>
                <w:sz w:val="22"/>
              </w:rPr>
              <w:t>MERCY VALE REGIONAL MEDICAL CENTER</w:t>
            </w:r>
          </w:p>
          <w:p>
            <w:pPr>
              <w:spacing w:after="0"/>
            </w:pPr>
            <w:r>
              <w:rPr>
                <w:rFonts w:ascii="Arial" w:hAnsi="Arial" w:cs="Arial"/>
                <w:b w:val="0"/>
                <w:i w:val="0"/>
                <w:color w:val="5E6670"/>
                <w:sz w:val="16"/>
              </w:rPr>
              <w:t>Pharmacy &amp; Hospital Medicine</w:t>
            </w:r>
          </w:p>
          <w:p>
            <w:pPr>
              <w:spacing w:after="0"/>
            </w:pPr>
            <w:r>
              <w:rPr>
                <w:rFonts w:ascii="Arial" w:hAnsi="Arial" w:cs="Arial"/>
                <w:b w:val="0"/>
                <w:i w:val="0"/>
                <w:color w:val="5E6670"/>
                <w:sz w:val="16"/>
              </w:rPr>
              <w:t>5 Harbor Crest Way, Bridgehollow, PA 15211  |  Pharmacy (412) 555-0170</w:t>
            </w:r>
          </w:p>
        </w:tc>
        <w:tc>
          <w:tcPr>
            <w:tcW w:type="dxa" w:w="5184"/>
          </w:tcPr>
          <w:p>
            <w:pPr>
              <w:spacing w:after="0"/>
              <w:jc w:val="right"/>
            </w:pPr>
            <w:r>
              <w:rPr>
                <w:rFonts w:ascii="Arial" w:hAnsi="Arial" w:cs="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color="auto" w:fill="4472C4"/>
          </w:tcPr>
          <w:p>
            <w:pPr>
              <w:spacing w:before="0" w:after="0"/>
            </w:p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after="0"/>
            </w:pPr>
            <w:r>
              <w:rPr>
                <w:rFonts w:ascii="Arial" w:hAnsi="Arial" w:cs="Arial"/>
                <w:b/>
                <w:i w:val="0"/>
                <w:color w:val="FFFFFF"/>
                <w:sz w:val="26"/>
              </w:rPr>
              <w:t xml:space="preserve">  KORVIN MERROW</w:t>
            </w:r>
            <w:r>
              <w:rPr>
                <w:rFonts w:ascii="Arial" w:hAnsi="Arial" w:cs="Arial"/>
                <w:b w:val="0"/>
                <w:i w:val="0"/>
                <w:color w:val="FFFFFF"/>
                <w:sz w:val="18"/>
              </w:rPr>
              <w:t xml:space="preserve">     62 y  |  Male  |  DOB 02/18/1964</w:t>
            </w:r>
          </w:p>
        </w:tc>
        <w:tc>
          <w:tcPr>
            <w:tcW w:type="dxa" w:w="2592"/>
            <w:shd w:val="clear" w:color="auto" w:fill="4472C4"/>
          </w:tcPr>
          <w:p>
            <w:pPr>
              <w:spacing w:after="0"/>
              <w:jc w:val="right"/>
            </w:pPr>
            <w:r>
              <w:rPr>
                <w:rFonts w:ascii="Arial" w:hAnsi="Arial" w:cs="Arial"/>
                <w:b/>
                <w:i w:val="0"/>
                <w:color w:val="FFFFFF"/>
                <w:sz w:val="20"/>
              </w:rPr>
              <w:t xml:space="preserve">MRN KM-6427819  </w:t>
            </w:r>
          </w:p>
        </w:tc>
      </w:tr>
      <w:tr>
        <w:tc>
          <w:tcPr>
            <w:tcW w:type="dxa" w:w="2592"/>
            <w:shd w:val="clear" w:color="auto" w:fill="EDF2FA"/>
          </w:tcPr>
          <w:p>
            <w:pPr>
              <w:spacing w:after="0"/>
            </w:pPr>
            <w:r>
              <w:rPr>
                <w:rFonts w:ascii="Arial" w:hAnsi="Arial" w:cs="Arial"/>
                <w:b/>
                <w:i w:val="0"/>
                <w:color w:val="5E6670"/>
                <w:sz w:val="15"/>
              </w:rPr>
              <w:t>Date / Anchor</w:t>
            </w:r>
          </w:p>
          <w:p>
            <w:pPr>
              <w:spacing w:after="0"/>
            </w:pPr>
            <w:r>
              <w:rPr>
                <w:rFonts w:ascii="Arial" w:hAnsi="Arial" w:cs="Arial"/>
                <w:b w:val="0"/>
                <w:i w:val="0"/>
                <w:color w:val="232830"/>
                <w:sz w:val="17"/>
              </w:rPr>
              <w:t>05/24/2026 / Discharge anchor</w:t>
            </w:r>
          </w:p>
        </w:tc>
        <w:tc>
          <w:tcPr>
            <w:tcW w:type="dxa" w:w="2592"/>
            <w:shd w:val="clear" w:color="auto" w:fill="EDF2FA"/>
          </w:tcPr>
          <w:p>
            <w:pPr>
              <w:spacing w:after="0"/>
            </w:pPr>
            <w:r>
              <w:rPr>
                <w:rFonts w:ascii="Arial" w:hAnsi="Arial" w:cs="Arial"/>
                <w:b/>
                <w:i w:val="0"/>
                <w:color w:val="5E6670"/>
                <w:sz w:val="15"/>
              </w:rPr>
              <w:t>FIN</w:t>
            </w:r>
          </w:p>
          <w:p>
            <w:pPr>
              <w:spacing w:after="0"/>
            </w:pPr>
            <w:r>
              <w:rPr>
                <w:rFonts w:ascii="Arial" w:hAnsi="Arial" w:cs="Arial"/>
                <w:b w:val="0"/>
                <w:i w:val="0"/>
                <w:color w:val="232830"/>
                <w:sz w:val="17"/>
              </w:rPr>
              <w:t>KM-2026-051877</w:t>
            </w:r>
          </w:p>
        </w:tc>
        <w:tc>
          <w:tcPr>
            <w:tcW w:type="dxa" w:w="2592"/>
            <w:shd w:val="clear" w:color="auto" w:fill="EDF2FA"/>
          </w:tcPr>
          <w:p>
            <w:pPr>
              <w:spacing w:after="0"/>
            </w:pPr>
            <w:r>
              <w:rPr>
                <w:rFonts w:ascii="Arial" w:hAnsi="Arial" w:cs="Arial"/>
                <w:b/>
                <w:i w:val="0"/>
                <w:color w:val="5E6670"/>
                <w:sz w:val="15"/>
              </w:rPr>
              <w:t>Allergy</w:t>
            </w:r>
          </w:p>
          <w:p>
            <w:pPr>
              <w:spacing w:after="0"/>
            </w:pPr>
            <w:r>
              <w:rPr>
                <w:rFonts w:ascii="Arial" w:hAnsi="Arial" w:cs="Arial"/>
                <w:b w:val="0"/>
                <w:i w:val="0"/>
                <w:color w:val="232830"/>
                <w:sz w:val="17"/>
              </w:rPr>
              <w:t>Lisinopril (cough — ACE-I intolerance)</w:t>
            </w:r>
          </w:p>
        </w:tc>
        <w:tc>
          <w:tcPr>
            <w:tcW w:type="dxa" w:w="2592"/>
            <w:shd w:val="clear" w:color="auto" w:fill="EDF2FA"/>
          </w:tcPr>
          <w:p>
            <w:pPr>
              <w:spacing w:after="0"/>
            </w:pPr>
            <w:r>
              <w:rPr>
                <w:rFonts w:ascii="Arial" w:hAnsi="Arial" w:cs="Arial"/>
                <w:b/>
                <w:i w:val="0"/>
                <w:color w:val="5E6670"/>
                <w:sz w:val="15"/>
              </w:rPr>
              <w:t>Unit / Room</w:t>
            </w:r>
          </w:p>
          <w:p>
            <w:pPr>
              <w:spacing w:after="0"/>
            </w:pPr>
            <w:r>
              <w:rPr>
                <w:rFonts w:ascii="Arial" w:hAnsi="Arial" w:cs="Arial"/>
                <w:b w:val="0"/>
                <w:i w:val="0"/>
                <w:color w:val="232830"/>
                <w:sz w:val="17"/>
              </w:rPr>
              <w:t>5W Medical / 5W-318</w:t>
            </w:r>
          </w:p>
        </w:tc>
      </w:tr>
    </w:tbl>
    <w:p>
      <w:pPr>
        <w:spacing w:after="0"/>
      </w:pPr>
    </w:p>
    <w:p>
      <w:pPr>
        <w:spacing w:before="120" w:after="40"/>
      </w:pPr>
      <w:r>
        <w:rPr>
          <w:rFonts w:ascii="Arial" w:hAnsi="Arial" w:cs="Arial"/>
          <w:b/>
          <w:i w:val="0"/>
          <w:color w:val="1F3864"/>
          <w:sz w:val="28"/>
        </w:rPr>
        <w:t>MEDICATION-SAFETY HANDOFF — ADDENDUM</w:t>
      </w:r>
    </w:p>
    <w:p>
      <w:pPr>
        <w:spacing w:after="80"/>
      </w:pPr>
      <w:r>
        <w:rPr>
          <w:rFonts w:ascii="Arial" w:hAnsi="Arial" w:cs="Arial"/>
          <w:b w:val="0"/>
          <w:i w:val="0"/>
          <w:color w:val="5E6670"/>
          <w:sz w:val="17"/>
        </w:rPr>
        <w:t>Addendum to: Discharge Medication Reconciliation Request (05/24/2026)  |  Status: Signed</w:t>
      </w:r>
    </w:p>
    <w:p>
      <w:pPr>
        <w:spacing w:after="40"/>
      </w:pPr>
      <w:r>
        <w:rPr>
          <w:rFonts w:ascii="Arial" w:hAnsi="Arial" w:cs="Arial"/>
          <w:b/>
          <w:i w:val="0"/>
          <w:color w:val="1F3864"/>
          <w:sz w:val="18"/>
        </w:rPr>
        <w:t xml:space="preserve">FROM:  </w:t>
      </w:r>
      <w:r>
        <w:rPr>
          <w:rFonts w:ascii="Arial" w:hAnsi="Arial" w:cs="Arial"/>
          <w:b w:val="0"/>
          <w:i w:val="0"/>
          <w:color w:val="232830"/>
          <w:sz w:val="18"/>
        </w:rPr>
        <w:t>Ezekiel Marlott, PharmD, BCPS — Inpatient Pharmacy</w:t>
      </w:r>
    </w:p>
    <w:p>
      <w:pPr>
        <w:spacing w:after="40"/>
      </w:pPr>
      <w:r>
        <w:rPr>
          <w:rFonts w:ascii="Arial" w:hAnsi="Arial" w:cs="Arial"/>
          <w:b w:val="0"/>
          <w:i w:val="0"/>
          <w:color w:val="232830"/>
          <w:sz w:val="18"/>
        </w:rPr>
        <w:t xml:space="preserve">            </w:t>
      </w:r>
      <w:r>
        <w:rPr>
          <w:rFonts w:ascii="Arial" w:hAnsi="Arial" w:cs="Arial"/>
          <w:b w:val="0"/>
          <w:i w:val="0"/>
          <w:color w:val="232830"/>
          <w:sz w:val="18"/>
        </w:rPr>
        <w:t>Elian Vossmere, MD — Attending Hospitalist</w:t>
      </w:r>
    </w:p>
    <w:p>
      <w:pPr>
        <w:spacing w:after="40"/>
      </w:pPr>
      <w:r>
        <w:rPr>
          <w:rFonts w:ascii="Arial" w:hAnsi="Arial" w:cs="Arial"/>
          <w:b/>
          <w:i w:val="0"/>
          <w:color w:val="1F3864"/>
          <w:sz w:val="18"/>
        </w:rPr>
        <w:t xml:space="preserve">RE:  </w:t>
      </w:r>
      <w:r>
        <w:rPr>
          <w:rFonts w:ascii="Arial" w:hAnsi="Arial" w:cs="Arial"/>
          <w:b w:val="0"/>
          <w:i w:val="0"/>
          <w:color w:val="232830"/>
          <w:sz w:val="18"/>
        </w:rPr>
        <w:t>Medication-safety handoff — high-priority focus list</w:t>
      </w:r>
    </w:p>
    <w:p>
      <w:pPr>
        <w:spacing w:before="180" w:after="60"/>
        <w:pBdr>
          <w:bottom w:val="single" w:sz="6" w:color="C9D4EA" w:space="2"/>
        </w:pBdr>
      </w:pPr>
      <w:r>
        <w:rPr>
          <w:rFonts w:ascii="Arial" w:hAnsi="Arial" w:cs="Arial"/>
          <w:b/>
          <w:i w:val="0"/>
          <w:color w:val="4472C4"/>
          <w:sz w:val="20"/>
        </w:rPr>
        <w:t>PURPOSE</w:t>
      </w:r>
    </w:p>
    <w:p>
      <w:pPr>
        <w:spacing w:before="0" w:after="80"/>
      </w:pPr>
      <w:r>
        <w:rPr>
          <w:rFonts w:ascii="Arial" w:hAnsi="Arial" w:cs="Arial"/>
          <w:b w:val="0"/>
          <w:i w:val="0"/>
          <w:color w:val="232830"/>
          <w:sz w:val="19"/>
        </w:rPr>
        <w:t>Focused medication-safety handoff to the discharging reviewer. Items below require explicit reconciliation before any discharge prescription is finalized. This addendum lists items; it does not resolve them.</w:t>
      </w:r>
    </w:p>
    <w:p>
      <w:pPr>
        <w:spacing w:before="180" w:after="60"/>
        <w:pBdr>
          <w:bottom w:val="single" w:sz="6" w:color="C9D4EA" w:space="2"/>
        </w:pBdr>
      </w:pPr>
      <w:r>
        <w:rPr>
          <w:rFonts w:ascii="Arial" w:hAnsi="Arial" w:cs="Arial"/>
          <w:b/>
          <w:i w:val="0"/>
          <w:color w:val="4472C4"/>
          <w:sz w:val="20"/>
        </w:rPr>
        <w:t>FOCUS ITEMS</w:t>
      </w:r>
    </w:p>
    <w:p>
      <w:pPr>
        <w:spacing w:before="120" w:after="40"/>
      </w:pPr>
      <w:r>
        <w:rPr>
          <w:rFonts w:ascii="Arial" w:hAnsi="Arial" w:cs="Arial"/>
          <w:b/>
          <w:i w:val="0"/>
          <w:color w:val="1F3864"/>
          <w:sz w:val="20"/>
        </w:rPr>
        <w:t>1.  HFrEF/CAD protective therapy — restart sequencing</w:t>
      </w:r>
    </w:p>
    <w:p>
      <w:pPr>
        <w:spacing w:before="0" w:after="80"/>
      </w:pPr>
      <w:r>
        <w:t>Each of the following was held or cautiously administered during the inpatient course and has not been returned to the pre-admission regimen as of this handoff.</w:t>
      </w:r>
    </w:p>
    <w:p>
      <w:pPr>
        <w:pStyle w:val="ListBullet"/>
        <w:spacing w:after="40"/>
        <w:ind w:left="432"/>
      </w:pPr>
      <w:r>
        <w:t>sacubitril/valsartan 24/26 mg PO BID — restart conditions and timing per Cardiology and Nephrology addenda.</w:t>
      </w:r>
    </w:p>
    <w:p>
      <w:pPr>
        <w:pStyle w:val="ListBullet"/>
        <w:spacing w:after="40"/>
        <w:ind w:left="432"/>
      </w:pPr>
      <w:r>
        <w:t>carvedilol 12.5 mg PO BID — restart conditions per Cardiology and Nephrology addenda.</w:t>
      </w:r>
    </w:p>
    <w:p>
      <w:pPr>
        <w:pStyle w:val="ListBullet"/>
        <w:spacing w:after="40"/>
        <w:ind w:left="432"/>
      </w:pPr>
      <w:r>
        <w:t>spironolactone 25 mg PO daily — restart conditions per Cardiology and Nephrology addenda.</w:t>
      </w:r>
    </w:p>
    <w:p>
      <w:pPr>
        <w:pStyle w:val="ListBullet"/>
        <w:spacing w:after="40"/>
        <w:ind w:left="432"/>
      </w:pPr>
      <w:r>
        <w:t>empagliflozin 10 mg PO daily — restart conditions per Cardiology and Nephrology addenda.</w:t>
      </w:r>
    </w:p>
    <w:p>
      <w:pPr>
        <w:pStyle w:val="ListBullet"/>
        <w:spacing w:after="40"/>
        <w:ind w:left="432"/>
      </w:pPr>
      <w:r>
        <w:t>furosemide 40 mg PO daily — restart conditions per Cardiology and Nephrology addenda.</w:t>
      </w:r>
    </w:p>
    <w:p>
      <w:pPr>
        <w:spacing w:before="40" w:after="80"/>
      </w:pPr>
      <w:r>
        <w:t>Cardiology (Caldrane) and Nephrology (Solthar) provided addenda dated across 05/19–05/23. Each restart, hold continuation, or dose change must be tied to the gating parameter at the time the discharge order is written.</w:t>
      </w:r>
    </w:p>
    <w:p>
      <w:pPr>
        <w:spacing w:before="120" w:after="40"/>
      </w:pPr>
      <w:r>
        <w:t>2.  Prednisone reconciliation</w:t>
      </w:r>
    </w:p>
    <w:p>
      <w:pPr>
        <w:spacing w:after="60"/>
      </w:pPr>
      <w:r>
        <w:t>Prednisone provenance requires reconciliation across multiple chart sources.</w:t>
      </w:r>
    </w:p>
    <w:p>
      <w:pPr>
        <w:spacing w:after="40"/>
        <w:ind w:left="576" w:hanging="432"/>
      </w:pPr>
    </w:p>
    <w:p>
      <w:pPr>
        <w:spacing w:before="120" w:after="40"/>
      </w:pPr>
      <w:r>
        <w:rPr>
          <w:rFonts w:ascii="Arial" w:hAnsi="Arial" w:cs="Arial"/>
          <w:b/>
          <w:i w:val="0"/>
          <w:color w:val="1F3864"/>
          <w:sz w:val="20"/>
        </w:rPr>
        <w:t>3.  Inpatient-only therapies — separation required</w:t>
      </w:r>
    </w:p>
    <w:p>
      <w:pPr>
        <w:spacing w:before="0" w:after="80"/>
      </w:pPr>
      <w:r>
        <w:t>Confirm that each agent on the proposed discharge prescription list has a documented outpatient indication in the chart.</w:t>
      </w:r>
    </w:p>
    <w:p>
      <w:pPr>
        <w:pStyle w:val="ListBullet"/>
        <w:spacing w:after="40"/>
        <w:ind w:left="432"/>
      </w:pPr>
    </w:p>
    <w:p>
      <w:pPr>
        <w:spacing w:before="120" w:after="40"/>
      </w:pPr>
      <w:r>
        <w:rPr>
          <w:rFonts w:ascii="Arial" w:hAnsi="Arial" w:cs="Arial"/>
          <w:b/>
          <w:i w:val="0"/>
          <w:color w:val="1F3864"/>
          <w:sz w:val="20"/>
        </w:rPr>
        <w:t>4.  Home medication-management capacity</w:t>
      </w:r>
    </w:p>
    <w:p>
      <w:pPr>
        <w:spacing w:before="0" w:after="80"/>
      </w:pPr>
      <w:r>
        <w:t>A home medication-management safety plan is required.</w:t>
      </w:r>
    </w:p>
    <w:p>
      <w:pPr>
        <w:spacing w:before="120" w:after="40"/>
      </w:pPr>
      <w:r>
        <w:rPr>
          <w:rFonts w:ascii="Arial" w:hAnsi="Arial" w:cs="Arial"/>
          <w:b/>
          <w:i w:val="0"/>
          <w:color w:val="1F3864"/>
          <w:sz w:val="20"/>
        </w:rPr>
        <w:t>5.  Renal and cardiac monitoring plan post-discharge</w:t>
      </w:r>
    </w:p>
    <w:p>
      <w:pPr>
        <w:spacing w:after="60"/>
      </w:pPr>
      <w:r>
        <w:t>Assess whether the current plan includes adequate post-discharge monitoring. A monitoring plan, as appropriate, would specify the lab panel (BMP including creatinine/eGFR and potassium), timing relative to discharge, daily home weight expectation against the 97 kg dry-weight baseline, BP parameters that trigger contact, and the clinician who receives and acts on each value. Outpatient lab logistics (Mercy Vale Outpatient Laboratory — Harbor Crest, (412) 555-0455) and transportation are unconfirmed per Case Management.</w:t>
      </w:r>
    </w:p>
    <w:p>
      <w:pPr>
        <w:spacing w:before="120" w:after="40"/>
      </w:pPr>
      <w:r>
        <w:rPr>
          <w:rFonts w:ascii="Arial" w:hAnsi="Arial" w:cs="Arial"/>
          <w:b/>
          <w:i w:val="0"/>
          <w:color w:val="1F3864"/>
          <w:sz w:val="20"/>
        </w:rPr>
        <w:t>6.  Outstanding antibiotic — completion vs continuation</w:t>
      </w:r>
    </w:p>
    <w:p>
      <w:pPr>
        <w:spacing w:after="60"/>
      </w:pPr>
      <w:r>
        <w:t>Empiric inpatient antibiotic course initiated HD1 for suspected urinary-source infection. At this handoff the determination of whether the patient is (a) completing the inpatient course with no outpatient continuation, or (b) stepping down to a defined oral course with named agent / dose / stop date is not finalized. Determine antibiotic disposition using the available clinical evidence; the MAR documents an oral step-down to cefpodoxime 200 mg PO BID initiated on HD4, and the trend summary documents clinical improvement (afebrile, WBC 9.4 by HD6). Select either (a) course complete at discharge or (b) continue an oral course with a named stop date, and document the rationale.</w:t>
      </w:r>
    </w:p>
    <w:p>
      <w:pPr>
        <w:spacing w:before="180" w:after="60"/>
        <w:pBdr>
          <w:bottom w:val="single" w:sz="6" w:color="C9D4EA" w:space="2"/>
        </w:pBdr>
      </w:pPr>
      <w:r>
        <w:rPr>
          <w:rFonts w:ascii="Arial" w:hAnsi="Arial" w:cs="Arial"/>
          <w:b/>
          <w:i w:val="0"/>
          <w:color w:val="4472C4"/>
          <w:sz w:val="20"/>
        </w:rPr>
        <w:t>ELECTRONIC SIGNATURE</w:t>
      </w:r>
    </w:p>
    <w:p>
      <w:pPr>
        <w:spacing w:after="40"/>
      </w:pPr>
      <w:r>
        <w:rPr>
          <w:rFonts w:ascii="Arial" w:hAnsi="Arial" w:cs="Arial"/>
          <w:b w:val="0"/>
          <w:i/>
          <w:color w:val="5E6670"/>
          <w:sz w:val="18"/>
        </w:rPr>
        <w:t>Electronically signed</w:t>
      </w:r>
    </w:p>
    <w:p>
      <w:pPr>
        <w:spacing w:after="20"/>
      </w:pPr>
      <w:r>
        <w:rPr>
          <w:rFonts w:ascii="Arial" w:hAnsi="Arial" w:cs="Arial"/>
          <w:b/>
          <w:i w:val="0"/>
          <w:color w:val="232830"/>
          <w:sz w:val="19"/>
        </w:rPr>
        <w:t>Ezekiel Marlott, PharmD, BCPS</w:t>
      </w:r>
      <w:r>
        <w:rPr>
          <w:rFonts w:ascii="Arial" w:hAnsi="Arial" w:cs="Arial"/>
          <w:b w:val="0"/>
          <w:i w:val="0"/>
          <w:color w:val="232830"/>
          <w:sz w:val="19"/>
        </w:rPr>
        <w:t xml:space="preserve">  —  Inpatient Pharmacy  —  05/24/2026</w:t>
      </w:r>
    </w:p>
    <w:p>
      <w:pPr>
        <w:spacing w:after="80"/>
      </w:pPr>
      <w:r>
        <w:rPr>
          <w:rFonts w:ascii="Arial" w:hAnsi="Arial" w:cs="Arial"/>
          <w:b/>
          <w:i w:val="0"/>
          <w:color w:val="232830"/>
          <w:sz w:val="19"/>
        </w:rPr>
        <w:t>Elian Vossmere, MD</w:t>
      </w:r>
      <w:r>
        <w:rPr>
          <w:rFonts w:ascii="Arial" w:hAnsi="Arial" w:cs="Arial"/>
          <w:b w:val="0"/>
          <w:i w:val="0"/>
          <w:color w:val="232830"/>
          <w:sz w:val="19"/>
        </w:rPr>
        <w:t xml:space="preserve">  —  Attending Hospitalist, Hospital Medicine  —  05/24/2026</w:t>
      </w:r>
    </w:p>
    <w:p>
      <w:pPr>
        <w:spacing w:before="40" w:after="120"/>
      </w:pPr>
      <w:r>
        <w:rPr>
          <w:rFonts w:ascii="Arial" w:hAnsi="Arial" w:cs="Arial"/>
          <w:b w:val="0"/>
          <w:i w:val="0"/>
          <w:color w:val="5E6670"/>
          <w:sz w:val="17"/>
        </w:rPr>
        <w:t>Pharmacy (412) 555-0170  |  Hospitalist office (412) 555-0302</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