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05/25/2026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Lillian Everet, MD</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REFERRAL COORDINATION</w:t>
            </w:r>
          </w:p>
        </w:tc>
      </w:tr>
    </w:tbl>
    <w:p/>
    <w:p>
      <w:r>
        <w:rPr>
          <w:rFonts w:ascii="Arial" w:hAnsi="Arial"/>
          <w:b/>
          <w:i w:val="0"/>
          <w:color w:val="1F3864"/>
          <w:sz w:val="28"/>
        </w:rPr>
        <w:t>REFERRAL AND POST-ACUTE SERVICE COORDINATION - LIMB-THREAT DIABETIC FOOT INFECTION (PHYSICIAN COMPLETION)</w:t>
      </w:r>
    </w:p>
    <w:p>
      <w:r>
        <w:rPr>
          <w:rFonts w:ascii="Arial" w:hAnsi="Arial"/>
          <w:b w:val="0"/>
          <w:i w:val="0"/>
          <w:color w:val="5E6670"/>
          <w:sz w:val="16"/>
        </w:rPr>
        <w:t>Author: Lillian Everet, MD - Hospital Medicine | Date of Service: 05/25/2026 | Status: Completed for physician signature</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05/25/2026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HOSPITAL COURSE SUMMARY</w:t>
      </w:r>
    </w:p>
    <w:p>
      <w:r>
        <w:rPr>
          <w:rFonts w:ascii="Arial" w:hAnsi="Arial"/>
          <w:b w:val="0"/>
          <w:i w:val="0"/>
          <w:color w:val="232830"/>
          <w:sz w:val="19"/>
        </w:rPr>
        <w:t>Limb-threatening left diabetic foot infection admitted 05/16, debrided hospital day 2 with a granulating base and no exposed bone. Deep-tissue culture grew MSSA and Streptococcus agalactiae. Soft-tissue infection improving: afebrile, WBC normalized to 8.9. The plantar forefoot wound is open and granulating and requires daily skilled dressing changes and strict offloading. AKI on CKD improving toward baseline. Held home oral agents remain held pending renal recovery.</w:t>
      </w:r>
    </w:p>
    <w:p>
      <w:pPr>
        <w:spacing w:before="180" w:after="60"/>
        <w:pBdr>
          <w:bottom w:val="single" w:sz="6" w:color="C9D4EA" w:space="2"/>
        </w:pBdr>
      </w:pPr>
      <w:r>
        <w:rPr>
          <w:rFonts w:ascii="Arial" w:hAnsi="Arial"/>
          <w:b/>
          <w:i w:val="0"/>
          <w:color w:val="4472C4"/>
          <w:sz w:val="20"/>
        </w:rPr>
        <w:t>REFERRALS AND SERVICES FINALIZED</w:t>
      </w:r>
    </w:p>
    <w:p>
      <w:pPr>
        <w:pStyle w:val="ListBullet"/>
        <w:spacing w:after="30"/>
      </w:pPr>
      <w:r>
        <w:rPr>
          <w:rFonts w:ascii="Arial" w:hAnsi="Arial"/>
          <w:b w:val="0"/>
          <w:i w:val="0"/>
          <w:color w:val="232830"/>
          <w:sz w:val="19"/>
        </w:rPr>
        <w:t>The home-health intake's wound downgrade is not supported and is corrected. The wound is not healed. The wound care consult documents an open granulating plantar wound, 3.0 by 2.2 by 0.8 cm, requiring skilled nursing-level daily dressing changes that exceed routine self-care. Arrange skilled home-health wound nursing for daily dressing changes and offloading, or a skilled nursing facility if skilled home nursing cannot be secured. Standard non-skilled home health is not adequate.</w:t>
      </w:r>
    </w:p>
    <w:p>
      <w:pPr>
        <w:pStyle w:val="ListBullet"/>
        <w:spacing w:after="30"/>
      </w:pPr>
      <w:r>
        <w:rPr>
          <w:rFonts w:ascii="Arial" w:hAnsi="Arial"/>
          <w:b w:val="0"/>
          <w:i w:val="0"/>
          <w:color w:val="232830"/>
          <w:sz w:val="19"/>
        </w:rPr>
        <w:t>Finalize the remaining referrals from the chart: Infectious Disease, podiatry, vascular surgery, endocrinology, and primary care for diabetes, renal recheck, and the held-medication review. Use an interpreter for all teaching.</w:t>
      </w:r>
    </w:p>
    <w:p>
      <w:pPr>
        <w:spacing w:before="180" w:after="60"/>
        <w:pBdr>
          <w:bottom w:val="single" w:sz="6" w:color="C9D4EA" w:space="2"/>
        </w:pBdr>
      </w:pPr>
      <w:r>
        <w:rPr>
          <w:rFonts w:ascii="Arial" w:hAnsi="Arial"/>
          <w:b/>
          <w:i w:val="0"/>
          <w:color w:val="4472C4"/>
          <w:sz w:val="20"/>
        </w:rPr>
        <w:t>ATTENDING VERIFICATION</w:t>
      </w:r>
    </w:p>
    <w:p>
      <w:r>
        <w:rPr>
          <w:rFonts w:ascii="Arial" w:hAnsi="Arial"/>
          <w:b w:val="0"/>
          <w:i w:val="0"/>
          <w:color w:val="232830"/>
          <w:sz w:val="19"/>
        </w:rPr>
        <w:t>The intake review downgraded the wound to routine self-care and standard home health. The chart does not support this; the wound is open and requires skilled daily dressing changes. Skilled wound-care nursing is arranged. Ready for signature.</w:t>
      </w:r>
    </w:p>
    <w:p>
      <w:pPr>
        <w:spacing w:before="200"/>
        <w:pBdr>
          <w:top w:val="single" w:sz="4" w:color="C9D4EA" w:space="4"/>
        </w:pBdr>
      </w:pPr>
      <w:r>
        <w:rPr>
          <w:rFonts w:ascii="Arial" w:hAnsi="Arial"/>
          <w:b w:val="0"/>
          <w:i/>
          <w:color w:val="5E6670"/>
          <w:sz w:val="18"/>
        </w:rPr>
        <w:t>Electronically signed by Lillian Everet, MD on 05/25/2026</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REFERRAL COORDINATION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REFERRAL COORDINATION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REFERRAL COORDINATION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