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CDI QUERY RESPONSE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ATTENDING RESPONSE TO CLINICAL DOCUMENTATION QUERY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1000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RESPONSE BY ITEM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1. Query to document acute osteomyelitis given the MRI marrow edema. Response: decline on clinical grounds. The treating team has characterized this as a deep soft tissue infection. The MRI marrow edema is nonspecific and was read as equivocal, the debrided specimen contains no bone, and the infectious disease consultant treated a soft tissue infection and did not sign acute osteomyelitis. The record supports deep soft tissue infection, not established osteomyelitis.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2. I engage the indicators rather than restating their absence: the marrow signal is adjacent reactive change in the setting of an overlying soft tissue infection, without cortical destruction, sequestrum, or a positive bone specimen.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3. Supported clarifications I accept: the laterality (left foot), the diabetic foot infection with deep soft tissue involvement, and the associated acute kidney injury on chronic kidney disease, all of which the chart documents.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4. The request to reflect full severity is not a basis to add a diagnosis the record does not establish. I will revise documentation if and when a bone specimen or a definitive study changes the picture.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the final wording of each item response against your own assessment before signing.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| Hospital Medicine | 05/24/2026 1000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CDI QUERY RESPONSE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CDI QUERY RESPONSE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CDI QUERY RESPONSE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