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60" w:lineRule="auto"/>
        <w:rPr>
          <w:rFonts w:ascii="Inter" w:cs="Inter" w:eastAsia="Inter" w:hAnsi="Inter"/>
          <w:color w:val="ff0000"/>
        </w:rPr>
      </w:pPr>
      <w:r w:rsidDel="00000000" w:rsidR="00000000" w:rsidRPr="00000000">
        <w:rPr>
          <w:rFonts w:ascii="Inter" w:cs="Inter" w:eastAsia="Inter" w:hAnsi="Inter"/>
          <w:b w:val="1"/>
          <w:bCs w:val="1"/>
          <w:color w:val="4f46e5"/>
          <w:sz w:val="32"/>
          <w:szCs w:val="32"/>
          <w:rtl w:val="0"/>
        </w:rPr>
        <w:t xml:space="preserve">Brainstorm Template </w:t>
        <w:br w:type="textWrapping"/>
      </w:r>
      <w:r w:rsidDel="00000000" w:rsidR="00000000" w:rsidRPr="00000000">
        <w:rPr>
          <w:rtl w:val="0"/>
        </w:rPr>
      </w:r>
    </w:p>
    <w:p w:rsidR="00000000" w:rsidDel="00000000" w:rsidP="00000000" w:rsidRDefault="00000000" w:rsidRPr="00000000" w14:paraId="00000002">
      <w:pPr>
        <w:spacing w:after="60" w:before="60" w:lineRule="auto"/>
        <w:rPr>
          <w:rFonts w:ascii="Inter" w:cs="Inter" w:eastAsia="Inter" w:hAnsi="Inter"/>
          <w:color w:val="ff0000"/>
        </w:rPr>
      </w:pPr>
      <w:r w:rsidDel="00000000" w:rsidR="00000000" w:rsidRPr="00000000">
        <w:rPr>
          <w:rFonts w:ascii="Inter" w:cs="Inter" w:eastAsia="Inter" w:hAnsi="Inter"/>
          <w:color w:val="ff0000"/>
          <w:u w:val="single"/>
          <w:rtl w:val="0"/>
        </w:rPr>
        <w:t xml:space="preserve">Note</w:t>
      </w:r>
      <w:r w:rsidDel="00000000" w:rsidR="00000000" w:rsidRPr="00000000">
        <w:rPr>
          <w:rFonts w:ascii="Inter" w:cs="Inter" w:eastAsia="Inter" w:hAnsi="Inter"/>
          <w:color w:val="ff0000"/>
          <w:rtl w:val="0"/>
        </w:rPr>
        <w:t xml:space="preserve">: You need to download this and upload to Claude as instructed in order to improve the quality of the final product and implementation of the system prompt. You may also slightly modify as you see fit. </w:t>
      </w:r>
    </w:p>
    <w:p w:rsidR="00000000" w:rsidDel="00000000" w:rsidP="00000000" w:rsidRDefault="00000000" w:rsidRPr="00000000" w14:paraId="00000003">
      <w:pPr>
        <w:spacing w:after="60" w:before="60" w:lineRule="auto"/>
        <w:rPr>
          <w:rFonts w:ascii="Inter" w:cs="Inter" w:eastAsia="Inter" w:hAnsi="Inter"/>
          <w:i w:val="1"/>
          <w:iCs w:val="1"/>
          <w:color w:val="980000"/>
        </w:rPr>
      </w:pPr>
      <w:r w:rsidDel="00000000" w:rsidR="00000000" w:rsidRPr="00000000">
        <w:rPr>
          <w:rtl w:val="0"/>
        </w:rPr>
      </w:r>
    </w:p>
    <w:p w:rsidR="00000000" w:rsidDel="00000000" w:rsidP="00000000" w:rsidRDefault="00000000" w:rsidRPr="00000000" w14:paraId="00000004">
      <w:pPr>
        <w:spacing w:after="60" w:before="60" w:lineRule="auto"/>
        <w:jc w:val="center"/>
        <w:rPr>
          <w:rFonts w:ascii="Inter" w:cs="Inter" w:eastAsia="Inter" w:hAnsi="Inter"/>
          <w:i w:val="1"/>
          <w:iCs w:val="1"/>
          <w:color w:val="595959"/>
        </w:rPr>
      </w:pPr>
      <w:r w:rsidDel="00000000" w:rsidR="00000000" w:rsidRPr="00000000">
        <w:rPr>
          <w:rtl w:val="0"/>
        </w:rPr>
      </w:r>
    </w:p>
    <w:tbl>
      <w:tblPr>
        <w:tblStyle w:val="Table1"/>
        <w:tblW w:w="13245.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4860"/>
        <w:gridCol w:w="6570"/>
        <w:tblGridChange w:id="0">
          <w:tblGrid>
            <w:gridCol w:w="1815"/>
            <w:gridCol w:w="4860"/>
            <w:gridCol w:w="657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005">
            <w:pPr>
              <w:rPr>
                <w:rFonts w:ascii="Inter" w:cs="Inter" w:eastAsia="Inter" w:hAnsi="Inter"/>
              </w:rPr>
            </w:pPr>
            <w:r w:rsidDel="00000000" w:rsidR="00000000" w:rsidRPr="00000000">
              <w:rPr>
                <w:rFonts w:ascii="Inter" w:cs="Inter" w:eastAsia="Inter" w:hAnsi="Inter"/>
                <w:b w:val="1"/>
                <w:bCs w:val="1"/>
                <w:color w:val="ffffff"/>
                <w:rtl w:val="0"/>
              </w:rPr>
              <w:t xml:space="preserve">Element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006">
            <w:pPr>
              <w:rPr>
                <w:rFonts w:ascii="Inter" w:cs="Inter" w:eastAsia="Inter" w:hAnsi="Inter"/>
              </w:rPr>
            </w:pPr>
            <w:r w:rsidDel="00000000" w:rsidR="00000000" w:rsidRPr="00000000">
              <w:rPr>
                <w:rFonts w:ascii="Inter" w:cs="Inter" w:eastAsia="Inter" w:hAnsi="Inter"/>
                <w:b w:val="1"/>
                <w:bCs w:val="1"/>
                <w:color w:val="ffffff"/>
                <w:rtl w:val="0"/>
              </w:rPr>
              <w:t xml:space="preserve">What to bring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4f46e5" w:val="clear"/>
            <w:tcMar>
              <w:top w:w="100.0" w:type="dxa"/>
              <w:left w:w="140.0" w:type="dxa"/>
              <w:bottom w:w="100.0" w:type="dxa"/>
              <w:right w:w="140.0" w:type="dxa"/>
            </w:tcMar>
          </w:tcPr>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b w:val="1"/>
                <w:bCs w:val="1"/>
                <w:color w:val="ffffff"/>
                <w:rtl w:val="0"/>
              </w:rPr>
              <w:t xml:space="preserve">Examples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8">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1. World setup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9">
            <w:pPr>
              <w:spacing w:after="60" w:lineRule="auto"/>
              <w:rPr>
                <w:rFonts w:ascii="Inter" w:cs="Inter" w:eastAsia="Inter" w:hAnsi="Inter"/>
              </w:rPr>
            </w:pPr>
            <w:r w:rsidDel="00000000" w:rsidR="00000000" w:rsidRPr="00000000">
              <w:rPr>
                <w:rFonts w:ascii="Inter" w:cs="Inter" w:eastAsia="Inter" w:hAnsi="Inter"/>
                <w:rtl w:val="0"/>
              </w:rPr>
              <w:t xml:space="preserve">Who the patient is and what clinical situation the world represents:</w:t>
            </w:r>
          </w:p>
          <w:p w:rsidR="00000000" w:rsidDel="00000000" w:rsidP="00000000" w:rsidRDefault="00000000" w:rsidRPr="00000000" w14:paraId="0000000A">
            <w:pPr>
              <w:spacing w:after="30" w:lineRule="auto"/>
              <w:ind w:left="200"/>
              <w:rPr>
                <w:rFonts w:ascii="Inter" w:cs="Inter" w:eastAsia="Inter" w:hAnsi="Inter"/>
              </w:rPr>
            </w:pPr>
            <w:r w:rsidDel="00000000" w:rsidR="00000000" w:rsidRPr="00000000">
              <w:rPr>
                <w:rFonts w:ascii="Inter" w:cs="Inter" w:eastAsia="Inter" w:hAnsi="Inter"/>
                <w:rtl w:val="0"/>
              </w:rPr>
              <w:t xml:space="preserve">•  Demographics and comorbidities</w:t>
            </w:r>
          </w:p>
          <w:p w:rsidR="00000000" w:rsidDel="00000000" w:rsidP="00000000" w:rsidRDefault="00000000" w:rsidRPr="00000000" w14:paraId="0000000B">
            <w:pPr>
              <w:spacing w:after="30" w:lineRule="auto"/>
              <w:ind w:left="200"/>
              <w:rPr>
                <w:rFonts w:ascii="Inter" w:cs="Inter" w:eastAsia="Inter" w:hAnsi="Inter"/>
              </w:rPr>
            </w:pPr>
            <w:r w:rsidDel="00000000" w:rsidR="00000000" w:rsidRPr="00000000">
              <w:rPr>
                <w:rFonts w:ascii="Inter" w:cs="Inter" w:eastAsia="Inter" w:hAnsi="Inter"/>
                <w:rtl w:val="0"/>
              </w:rPr>
              <w:t xml:space="preserve">•  Clinical environment (specialty, inpatient vs. outpatient vs. administrative oversight)</w:t>
            </w:r>
          </w:p>
          <w:p w:rsidR="00000000" w:rsidDel="00000000" w:rsidP="00000000" w:rsidRDefault="00000000" w:rsidRPr="00000000" w14:paraId="0000000C">
            <w:pPr>
              <w:spacing w:after="30" w:lineRule="auto"/>
              <w:ind w:left="200"/>
              <w:rPr>
                <w:rFonts w:ascii="Inter" w:cs="Inter" w:eastAsia="Inter" w:hAnsi="Inter"/>
              </w:rPr>
            </w:pPr>
            <w:r w:rsidDel="00000000" w:rsidR="00000000" w:rsidRPr="00000000">
              <w:rPr>
                <w:rFonts w:ascii="Inter" w:cs="Inter" w:eastAsia="Inter" w:hAnsi="Inter"/>
                <w:rtl w:val="0"/>
              </w:rPr>
              <w:t xml:space="preserve">•  Encounter type (admission, clinic visit, RCA review, peer review, coding audit, and so on)</w:t>
            </w:r>
          </w:p>
          <w:p w:rsidR="00000000" w:rsidDel="00000000" w:rsidP="00000000" w:rsidRDefault="00000000" w:rsidRPr="00000000" w14:paraId="0000000D">
            <w:pPr>
              <w:spacing w:after="60" w:lineRule="auto"/>
              <w:ind w:left="200"/>
              <w:rPr>
                <w:rFonts w:ascii="Inter" w:cs="Inter" w:eastAsia="Inter" w:hAnsi="Inter"/>
              </w:rPr>
            </w:pPr>
            <w:r w:rsidDel="00000000" w:rsidR="00000000" w:rsidRPr="00000000">
              <w:rPr>
                <w:rFonts w:ascii="Inter" w:cs="Inter" w:eastAsia="Inter" w:hAnsi="Inter"/>
                <w:rtl w:val="0"/>
              </w:rPr>
              <w:t xml:space="preserve">•  Shape of the timeline; what changes over the course of the world</w:t>
            </w:r>
          </w:p>
          <w:p w:rsidR="00000000" w:rsidDel="00000000" w:rsidP="00000000" w:rsidRDefault="00000000" w:rsidRPr="00000000" w14:paraId="0000000E">
            <w:pPr>
              <w:rPr>
                <w:rFonts w:ascii="Inter" w:cs="Inter" w:eastAsia="Inter" w:hAnsi="Inter"/>
              </w:rPr>
            </w:pPr>
            <w:r w:rsidDel="00000000" w:rsidR="00000000" w:rsidRPr="00000000">
              <w:rPr>
                <w:rFonts w:ascii="Inter" w:cs="Inter" w:eastAsia="Inter" w:hAnsi="Inter"/>
                <w:rtl w:val="0"/>
              </w:rPr>
              <w:t xml:space="preserve">Enough to know the world is medically and contextually coherent.</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0F">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an inpatient hospital medicine world: a [N]-day admission for [presenting problem] in a [age] [sex] with [comorbidities]."</w:t>
            </w:r>
            <w:r w:rsidDel="00000000" w:rsidR="00000000" w:rsidRPr="00000000">
              <w:rPr>
                <w:rtl w:val="0"/>
              </w:rPr>
            </w:r>
          </w:p>
          <w:p w:rsidR="00000000" w:rsidDel="00000000" w:rsidP="00000000" w:rsidRDefault="00000000" w:rsidRPr="00000000" w14:paraId="00000010">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an outpatient primary care world: a single clinic visit for [chief complaint] in a [age] [sex] with [relevant chronic conditions]."</w:t>
            </w:r>
            <w:r w:rsidDel="00000000" w:rsidR="00000000" w:rsidRPr="00000000">
              <w:rPr>
                <w:rtl w:val="0"/>
              </w:rPr>
            </w:r>
          </w:p>
          <w:p w:rsidR="00000000" w:rsidDel="00000000" w:rsidP="00000000" w:rsidRDefault="00000000" w:rsidRPr="00000000" w14:paraId="00000011">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"This is a medical director world: an RCA review of [event type] involving a [age] [sex] who [outcome]; reviewer has access to chart and incident materials."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2">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2. Major friction 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3">
            <w:pPr>
              <w:spacing w:after="60" w:lineRule="auto"/>
              <w:rPr>
                <w:rFonts w:ascii="Inter" w:cs="Inter" w:eastAsia="Inter" w:hAnsi="Inter"/>
              </w:rPr>
            </w:pPr>
            <w:r w:rsidDel="00000000" w:rsidR="00000000" w:rsidRPr="00000000">
              <w:rPr>
                <w:rFonts w:ascii="Inter" w:cs="Inter" w:eastAsia="Inter" w:hAnsi="Inter"/>
                <w:rtl w:val="0"/>
              </w:rPr>
              <w:t xml:space="preserve">Opposing forces, viewpoints, or stakeholder positions that complicate the scenario:</w:t>
            </w:r>
          </w:p>
          <w:p w:rsidR="00000000" w:rsidDel="00000000" w:rsidP="00000000" w:rsidRDefault="00000000" w:rsidRPr="00000000" w14:paraId="00000014">
            <w:pPr>
              <w:spacing w:after="30" w:lineRule="auto"/>
              <w:ind w:left="200"/>
              <w:rPr>
                <w:rFonts w:ascii="Inter" w:cs="Inter" w:eastAsia="Inter" w:hAnsi="Inter"/>
              </w:rPr>
            </w:pPr>
            <w:r w:rsidDel="00000000" w:rsidR="00000000" w:rsidRPr="00000000">
              <w:rPr>
                <w:rFonts w:ascii="Inter" w:cs="Inter" w:eastAsia="Inter" w:hAnsi="Inter"/>
                <w:rtl w:val="0"/>
              </w:rPr>
              <w:t xml:space="preserve">•  Two specialists with conflicting recommendations</w:t>
            </w:r>
          </w:p>
          <w:p w:rsidR="00000000" w:rsidDel="00000000" w:rsidP="00000000" w:rsidRDefault="00000000" w:rsidRPr="00000000" w14:paraId="00000015">
            <w:pPr>
              <w:spacing w:after="30" w:lineRule="auto"/>
              <w:ind w:left="200"/>
              <w:rPr>
                <w:rFonts w:ascii="Inter" w:cs="Inter" w:eastAsia="Inter" w:hAnsi="Inter"/>
              </w:rPr>
            </w:pPr>
            <w:r w:rsidDel="00000000" w:rsidR="00000000" w:rsidRPr="00000000">
              <w:rPr>
                <w:rFonts w:ascii="Inter" w:cs="Inter" w:eastAsia="Inter" w:hAnsi="Inter"/>
                <w:rtl w:val="0"/>
              </w:rPr>
              <w:t xml:space="preserve">•  Family wishes vs. medical recommendation</w:t>
            </w:r>
          </w:p>
          <w:p w:rsidR="00000000" w:rsidDel="00000000" w:rsidP="00000000" w:rsidRDefault="00000000" w:rsidRPr="00000000" w14:paraId="00000016">
            <w:pPr>
              <w:spacing w:after="60" w:lineRule="auto"/>
              <w:ind w:left="200"/>
              <w:rPr>
                <w:rFonts w:ascii="Inter" w:cs="Inter" w:eastAsia="Inter" w:hAnsi="Inter"/>
              </w:rPr>
            </w:pPr>
            <w:r w:rsidDel="00000000" w:rsidR="00000000" w:rsidRPr="00000000">
              <w:rPr>
                <w:rFonts w:ascii="Inter" w:cs="Inter" w:eastAsia="Inter" w:hAnsi="Inter"/>
                <w:rtl w:val="0"/>
              </w:rPr>
              <w:t xml:space="preserve">•  Primary team vs. consultant disagreement</w:t>
            </w:r>
          </w:p>
          <w:p w:rsidR="00000000" w:rsidDel="00000000" w:rsidP="00000000" w:rsidRDefault="00000000" w:rsidRPr="00000000" w14:paraId="00000017">
            <w:pPr>
              <w:rPr>
                <w:rFonts w:ascii="Inter" w:cs="Inter" w:eastAsia="Inter" w:hAnsi="Inter"/>
                <w:color w:val="980000"/>
              </w:rPr>
            </w:pPr>
            <w:r w:rsidDel="00000000" w:rsidR="00000000" w:rsidRPr="00000000">
              <w:rPr>
                <w:rtl w:val="0"/>
              </w:rPr>
            </w:r>
          </w:p>
          <w:p w:rsidR="00000000" w:rsidDel="00000000" w:rsidP="00000000" w:rsidRDefault="00000000" w:rsidRPr="00000000" w14:paraId="00000018">
            <w:pPr>
              <w:rPr>
                <w:rFonts w:ascii="Inter" w:cs="Inter" w:eastAsia="Inter" w:hAnsi="Inter"/>
                <w:b w:val="1"/>
                <w:bCs w:val="1"/>
                <w:color w:val="980000"/>
              </w:rPr>
            </w:pPr>
            <w:r w:rsidDel="00000000" w:rsidR="00000000" w:rsidRPr="00000000">
              <w:rPr>
                <w:rFonts w:ascii="Inter" w:cs="Inter" w:eastAsia="Inter" w:hAnsi="Inter"/>
                <w:color w:val="980000"/>
                <w:rtl w:val="0"/>
              </w:rPr>
              <w:t xml:space="preserve">⚠️</w:t>
            </w:r>
            <w:r w:rsidDel="00000000" w:rsidR="00000000" w:rsidRPr="00000000">
              <w:rPr>
                <w:rFonts w:ascii="Inter" w:cs="Inter" w:eastAsia="Inter" w:hAnsi="Inter"/>
                <w:b w:val="1"/>
                <w:bCs w:val="1"/>
                <w:color w:val="980000"/>
                <w:rtl w:val="0"/>
              </w:rPr>
              <w:t xml:space="preserve">Frictions are about people and perspectives. Traps (next row) are about information.</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9">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"Cardiology and nephrology disagree on whether to hold the ACE inhibitor."</w:t>
            </w:r>
            <w:r w:rsidDel="00000000" w:rsidR="00000000" w:rsidRPr="00000000">
              <w:rPr>
                <w:rtl w:val="0"/>
              </w:rPr>
            </w:r>
          </w:p>
          <w:p w:rsidR="00000000" w:rsidDel="00000000" w:rsidP="00000000" w:rsidRDefault="00000000" w:rsidRPr="00000000" w14:paraId="0000001A">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"Family wants comfort care; the primary team is still pursuing aggressive workup."</w:t>
            </w:r>
            <w:r w:rsidDel="00000000" w:rsidR="00000000" w:rsidRPr="00000000">
              <w:rPr>
                <w:rtl w:val="0"/>
              </w:rPr>
            </w:r>
          </w:p>
          <w:p w:rsidR="00000000" w:rsidDel="00000000" w:rsidP="00000000" w:rsidRDefault="00000000" w:rsidRPr="00000000" w14:paraId="0000001B">
            <w:pPr>
              <w:rPr>
                <w:rFonts w:ascii="Inter" w:cs="Inter" w:eastAsia="Inter" w:hAnsi="Inter"/>
                <w:i w:val="1"/>
                <w:iCs w:val="1"/>
                <w:color w:val="1f2328"/>
              </w:rPr>
            </w:pPr>
            <w:r w:rsidDel="00000000" w:rsidR="00000000" w:rsidRPr="00000000">
              <w:rPr>
                <w:rFonts w:ascii="Inter" w:cs="Inter" w:eastAsia="Inter" w:hAnsi="Inter"/>
                <w:i w:val="1"/>
                <w:iCs w:val="1"/>
                <w:color w:val="1f2328"/>
                <w:rtl w:val="0"/>
              </w:rPr>
              <w:t xml:space="preserve">"PCP recommends one regimen at clinic; the inpatient team has a different plan at admission."</w:t>
            </w:r>
          </w:p>
          <w:p w:rsidR="00000000" w:rsidDel="00000000" w:rsidP="00000000" w:rsidRDefault="00000000" w:rsidRPr="00000000" w14:paraId="0000001C">
            <w:pPr>
              <w:rPr>
                <w:rFonts w:ascii="Inter" w:cs="Inter" w:eastAsia="Inter" w:hAnsi="Inter"/>
                <w:i w:val="1"/>
                <w:iCs w:val="1"/>
                <w:color w:val="1f2328"/>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D">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3. Major traps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1E">
            <w:pPr>
              <w:spacing w:after="60" w:lineRule="auto"/>
              <w:rPr>
                <w:rFonts w:ascii="Inter" w:cs="Inter" w:eastAsia="Inter" w:hAnsi="Inter"/>
              </w:rPr>
            </w:pPr>
            <w:r w:rsidDel="00000000" w:rsidR="00000000" w:rsidRPr="00000000">
              <w:rPr>
                <w:rFonts w:ascii="Inter" w:cs="Inter" w:eastAsia="Inter" w:hAnsi="Inter"/>
                <w:rtl w:val="0"/>
              </w:rPr>
              <w:t xml:space="preserve">Nuggets of information or specific incidents that complicate the clinician's job and can lead to incorrect decisions if not contextualized properly. </w:t>
            </w:r>
          </w:p>
          <w:p w:rsidR="00000000" w:rsidDel="00000000" w:rsidP="00000000" w:rsidRDefault="00000000" w:rsidRPr="00000000" w14:paraId="0000001F">
            <w:pPr>
              <w:spacing w:after="60" w:lineRule="auto"/>
              <w:rPr>
                <w:rFonts w:ascii="Inter" w:cs="Inter" w:eastAsia="Inter" w:hAnsi="Inter"/>
              </w:rPr>
            </w:pPr>
            <w:r w:rsidDel="00000000" w:rsidR="00000000" w:rsidRPr="00000000">
              <w:rPr>
                <w:rtl w:val="0"/>
              </w:rPr>
            </w:r>
          </w:p>
          <w:p w:rsidR="00000000" w:rsidDel="00000000" w:rsidP="00000000" w:rsidRDefault="00000000" w:rsidRPr="00000000" w14:paraId="00000020">
            <w:pPr>
              <w:spacing w:after="40" w:before="80" w:lineRule="auto"/>
              <w:rPr>
                <w:rFonts w:ascii="Inter" w:cs="Inter" w:eastAsia="Inter" w:hAnsi="Inter"/>
                <w:color w:val="4f46e5"/>
              </w:rPr>
            </w:pPr>
            <w:r w:rsidDel="00000000" w:rsidR="00000000" w:rsidRPr="00000000">
              <w:rPr>
                <w:rFonts w:ascii="Inter" w:cs="Inter" w:eastAsia="Inter" w:hAnsi="Inter"/>
                <w:b w:val="1"/>
                <w:bCs w:val="1"/>
                <w:color w:val="4f46e5"/>
                <w:rtl w:val="0"/>
              </w:rPr>
              <w:t xml:space="preserve">Common trap types:</w:t>
            </w:r>
            <w:r w:rsidDel="00000000" w:rsidR="00000000" w:rsidRPr="00000000">
              <w:rPr>
                <w:rtl w:val="0"/>
              </w:rPr>
            </w:r>
          </w:p>
          <w:p w:rsidR="00000000" w:rsidDel="00000000" w:rsidP="00000000" w:rsidRDefault="00000000" w:rsidRPr="00000000" w14:paraId="00000021">
            <w:pPr>
              <w:spacing w:after="30" w:lineRule="auto"/>
              <w:ind w:left="200"/>
              <w:rPr>
                <w:rFonts w:ascii="Inter" w:cs="Inter" w:eastAsia="Inter" w:hAnsi="Inter"/>
              </w:rPr>
            </w:pPr>
            <w:r w:rsidDel="00000000" w:rsidR="00000000" w:rsidRPr="00000000">
              <w:rPr>
                <w:rFonts w:ascii="Inter" w:cs="Inter" w:eastAsia="Inter" w:hAnsi="Inter"/>
                <w:rtl w:val="0"/>
              </w:rPr>
              <w:t xml:space="preserve">•  Contradictory EMR information</w:t>
            </w:r>
          </w:p>
          <w:p w:rsidR="00000000" w:rsidDel="00000000" w:rsidP="00000000" w:rsidRDefault="00000000" w:rsidRPr="00000000" w14:paraId="00000022">
            <w:pPr>
              <w:spacing w:after="30" w:lineRule="auto"/>
              <w:ind w:left="200"/>
              <w:rPr>
                <w:rFonts w:ascii="Inter" w:cs="Inter" w:eastAsia="Inter" w:hAnsi="Inter"/>
              </w:rPr>
            </w:pPr>
            <w:r w:rsidDel="00000000" w:rsidR="00000000" w:rsidRPr="00000000">
              <w:rPr>
                <w:rFonts w:ascii="Inter" w:cs="Inter" w:eastAsia="Inter" w:hAnsi="Inter"/>
                <w:rtl w:val="0"/>
              </w:rPr>
              <w:t xml:space="preserve">•  Buried clinically significant information</w:t>
            </w:r>
          </w:p>
          <w:p w:rsidR="00000000" w:rsidDel="00000000" w:rsidP="00000000" w:rsidRDefault="00000000" w:rsidRPr="00000000" w14:paraId="00000023">
            <w:pPr>
              <w:spacing w:after="30" w:lineRule="auto"/>
              <w:ind w:left="200"/>
              <w:rPr>
                <w:rFonts w:ascii="Inter" w:cs="Inter" w:eastAsia="Inter" w:hAnsi="Inter"/>
              </w:rPr>
            </w:pPr>
            <w:r w:rsidDel="00000000" w:rsidR="00000000" w:rsidRPr="00000000">
              <w:rPr>
                <w:rFonts w:ascii="Inter" w:cs="Inter" w:eastAsia="Inter" w:hAnsi="Inter"/>
                <w:rtl w:val="0"/>
              </w:rPr>
              <w:t xml:space="preserve">•  Insufficient or missing patient information</w:t>
            </w:r>
          </w:p>
          <w:p w:rsidR="00000000" w:rsidDel="00000000" w:rsidP="00000000" w:rsidRDefault="00000000" w:rsidRPr="00000000" w14:paraId="00000024">
            <w:pPr>
              <w:spacing w:after="30" w:lineRule="auto"/>
              <w:ind w:left="200"/>
              <w:rPr>
                <w:rFonts w:ascii="Inter" w:cs="Inter" w:eastAsia="Inter" w:hAnsi="Inter"/>
              </w:rPr>
            </w:pPr>
            <w:r w:rsidDel="00000000" w:rsidR="00000000" w:rsidRPr="00000000">
              <w:rPr>
                <w:rFonts w:ascii="Inter" w:cs="Inter" w:eastAsia="Inter" w:hAnsi="Inter"/>
                <w:rtl w:val="0"/>
              </w:rPr>
              <w:t xml:space="preserve">•  Source-of-truth ambiguity</w:t>
            </w:r>
          </w:p>
          <w:p w:rsidR="00000000" w:rsidDel="00000000" w:rsidP="00000000" w:rsidRDefault="00000000" w:rsidRPr="00000000" w14:paraId="00000025">
            <w:pPr>
              <w:spacing w:after="30" w:lineRule="auto"/>
              <w:ind w:left="200"/>
              <w:rPr>
                <w:rFonts w:ascii="Inter" w:cs="Inter" w:eastAsia="Inter" w:hAnsi="Inter"/>
              </w:rPr>
            </w:pPr>
            <w:r w:rsidDel="00000000" w:rsidR="00000000" w:rsidRPr="00000000">
              <w:rPr>
                <w:rFonts w:ascii="Inter" w:cs="Inter" w:eastAsia="Inter" w:hAnsi="Inter"/>
                <w:rtl w:val="0"/>
              </w:rPr>
              <w:t xml:space="preserve">•  Social determinants of health</w:t>
            </w:r>
          </w:p>
          <w:p w:rsidR="00000000" w:rsidDel="00000000" w:rsidP="00000000" w:rsidRDefault="00000000" w:rsidRPr="00000000" w14:paraId="00000026">
            <w:pPr>
              <w:ind w:left="200"/>
              <w:rPr>
                <w:rFonts w:ascii="Inter" w:cs="Inter" w:eastAsia="Inter" w:hAnsi="Inter"/>
              </w:rPr>
            </w:pPr>
            <w:r w:rsidDel="00000000" w:rsidR="00000000" w:rsidRPr="00000000">
              <w:rPr>
                <w:rFonts w:ascii="Inter" w:cs="Inter" w:eastAsia="Inter" w:hAnsi="Inter"/>
                <w:rtl w:val="0"/>
              </w:rPr>
              <w:t xml:space="preserve">•  Temporal or sequencing complexity</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7">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"Stale EMR med list contradicts a recently filled pill bottle photo. Source-of-truth ambiguity. Lives in the med rec task only."</w:t>
            </w:r>
            <w:r w:rsidDel="00000000" w:rsidR="00000000" w:rsidRPr="00000000">
              <w:rPr>
                <w:rtl w:val="0"/>
              </w:rPr>
            </w:r>
          </w:p>
          <w:p w:rsidR="00000000" w:rsidDel="00000000" w:rsidP="00000000" w:rsidRDefault="00000000" w:rsidRPr="00000000" w14:paraId="00000028">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"Aspiration event documented mid-paragraph in a routine nursing note, never escalated. Buried significant information. World-level trap."</w:t>
            </w:r>
            <w:r w:rsidDel="00000000" w:rsidR="00000000" w:rsidRPr="00000000">
              <w:rPr>
                <w:rtl w:val="0"/>
              </w:rPr>
            </w:r>
          </w:p>
          <w:p w:rsidR="00000000" w:rsidDel="00000000" w:rsidP="00000000" w:rsidRDefault="00000000" w:rsidRPr="00000000" w14:paraId="00000029">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"Caregiver burnout limits adherence and follow-up capacity. SDOH trap. World-level, affects every task that touches the discharge plan."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A">
            <w:pPr>
              <w:rPr>
                <w:rFonts w:ascii="Inter" w:cs="Inter" w:eastAsia="Inter" w:hAnsi="Inter"/>
                <w:color w:val="4f46e5"/>
              </w:rPr>
            </w:pPr>
            <w:r w:rsidDel="00000000" w:rsidR="00000000" w:rsidRPr="00000000">
              <w:rPr>
                <w:rFonts w:ascii="Inter" w:cs="Inter" w:eastAsia="Inter" w:hAnsi="Inter"/>
                <w:b w:val="1"/>
                <w:bCs w:val="1"/>
                <w:color w:val="4f46e5"/>
                <w:rtl w:val="0"/>
              </w:rPr>
              <w:t xml:space="preserve">4. Rough task ideas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2B">
            <w:pPr>
              <w:spacing w:after="60" w:lineRule="auto"/>
              <w:rPr>
                <w:rFonts w:ascii="Inter" w:cs="Inter" w:eastAsia="Inter" w:hAnsi="Inter"/>
              </w:rPr>
            </w:pPr>
            <w:r w:rsidDel="00000000" w:rsidR="00000000" w:rsidRPr="00000000">
              <w:rPr>
                <w:rFonts w:ascii="Inter" w:cs="Inter" w:eastAsia="Inter" w:hAnsi="Inter"/>
                <w:rtl w:val="0"/>
              </w:rPr>
              <w:t xml:space="preserve">The clinical workflows the writer is thinking about as task encounters. Each task is independent and lives temporally after the world.</w:t>
            </w:r>
          </w:p>
          <w:p w:rsidR="00000000" w:rsidDel="00000000" w:rsidP="00000000" w:rsidRDefault="00000000" w:rsidRPr="00000000" w14:paraId="0000002C">
            <w:pPr>
              <w:spacing w:after="60" w:lineRule="auto"/>
              <w:rPr>
                <w:rFonts w:ascii="Inter" w:cs="Inter" w:eastAsia="Inter" w:hAnsi="Inter"/>
              </w:rPr>
            </w:pPr>
            <w:r w:rsidDel="00000000" w:rsidR="00000000" w:rsidRPr="00000000">
              <w:rPr>
                <w:rFonts w:ascii="Inter" w:cs="Inter" w:eastAsia="Inter" w:hAnsi="Inter"/>
                <w:rtl w:val="0"/>
              </w:rPr>
              <w:t xml:space="preserve">For each task: the deliverable type and which world elements, traps, or frictions it would test.</w:t>
            </w:r>
          </w:p>
          <w:p w:rsidR="00000000" w:rsidDel="00000000" w:rsidP="00000000" w:rsidRDefault="00000000" w:rsidRPr="00000000" w14:paraId="0000002D">
            <w:pPr>
              <w:spacing w:after="40" w:before="80" w:lineRule="auto"/>
              <w:rPr>
                <w:rFonts w:ascii="Inter" w:cs="Inter" w:eastAsia="Inter" w:hAnsi="Inter"/>
                <w:sz w:val="24"/>
                <w:szCs w:val="24"/>
              </w:rPr>
            </w:pPr>
            <w:r w:rsidDel="00000000" w:rsidR="00000000" w:rsidRPr="00000000">
              <w:rPr>
                <w:rFonts w:ascii="Inter" w:cs="Inter" w:eastAsia="Inter" w:hAnsi="Inter"/>
                <w:b w:val="1"/>
                <w:bCs w:val="1"/>
                <w:color w:val="4f46e5"/>
                <w:rtl w:val="0"/>
              </w:rPr>
              <w:t xml:space="preserve">Reference the team's approved workflows tracker</w:t>
            </w:r>
            <w:r w:rsidDel="00000000" w:rsidR="00000000" w:rsidRPr="00000000">
              <w:rPr>
                <w:rFonts w:ascii="Inter" w:cs="Inter" w:eastAsia="Inter" w:hAnsi="Inter"/>
                <w:rtl w:val="0"/>
              </w:rPr>
              <w:t xml:space="preserve">: </w:t>
            </w:r>
            <w:hyperlink r:id="rId6">
              <w:r w:rsidDel="00000000" w:rsidR="00000000" w:rsidRPr="00000000">
                <w:rPr>
                  <w:rFonts w:ascii="Inter" w:cs="Inter" w:eastAsia="Inter" w:hAnsi="Inter"/>
                  <w:color w:val="0000ee"/>
                  <w:sz w:val="24"/>
                  <w:szCs w:val="24"/>
                  <w:u w:val="single"/>
                  <w:rtl w:val="0"/>
                </w:rPr>
                <w:t xml:space="preserve"> Task Selection Categories For Team</w:t>
              </w:r>
            </w:hyperlink>
            <w:r w:rsidDel="00000000" w:rsidR="00000000" w:rsidRPr="00000000">
              <w:rPr>
                <w:rtl w:val="0"/>
              </w:rPr>
            </w:r>
          </w:p>
          <w:p w:rsidR="00000000" w:rsidDel="00000000" w:rsidP="00000000" w:rsidRDefault="00000000" w:rsidRPr="00000000" w14:paraId="0000002E">
            <w:pPr>
              <w:spacing w:after="40" w:before="80" w:lineRule="auto"/>
              <w:rPr>
                <w:rFonts w:ascii="Inter" w:cs="Inter" w:eastAsia="Inter" w:hAnsi="Inter"/>
              </w:rPr>
            </w:pPr>
            <w:r w:rsidDel="00000000" w:rsidR="00000000" w:rsidRPr="00000000">
              <w:rPr>
                <w:rFonts w:ascii="Inter" w:cs="Inter" w:eastAsia="Inter" w:hAnsi="Inter"/>
                <w:rtl w:val="0"/>
              </w:rPr>
              <w:t xml:space="preserve">for the full list of validated deliverable types. The categories below are a representative sample to encourage thinking beyond progress notes and discharge medication lists.</w:t>
            </w:r>
          </w:p>
          <w:p w:rsidR="00000000" w:rsidDel="00000000" w:rsidP="00000000" w:rsidRDefault="00000000" w:rsidRPr="00000000" w14:paraId="0000002F">
            <w:pPr>
              <w:spacing w:after="30" w:lineRule="auto"/>
              <w:ind w:left="200"/>
              <w:rPr>
                <w:rFonts w:ascii="Inter" w:cs="Inter" w:eastAsia="Inter" w:hAnsi="Inter"/>
              </w:rPr>
            </w:pPr>
            <w:r w:rsidDel="00000000" w:rsidR="00000000" w:rsidRPr="00000000">
              <w:rPr>
                <w:rFonts w:ascii="Inter" w:cs="Inter" w:eastAsia="Inter" w:hAnsi="Inter"/>
                <w:rtl w:val="0"/>
              </w:rPr>
              <w:t xml:space="preserve">•  Direct clinical documentation (H&amp;P, progress note, discharge summary, consult, SOAP, op note)</w:t>
            </w:r>
          </w:p>
          <w:p w:rsidR="00000000" w:rsidDel="00000000" w:rsidP="00000000" w:rsidRDefault="00000000" w:rsidRPr="00000000" w14:paraId="00000030">
            <w:pPr>
              <w:spacing w:after="30" w:lineRule="auto"/>
              <w:ind w:left="200"/>
              <w:rPr>
                <w:rFonts w:ascii="Inter" w:cs="Inter" w:eastAsia="Inter" w:hAnsi="Inter"/>
              </w:rPr>
            </w:pPr>
            <w:r w:rsidDel="00000000" w:rsidR="00000000" w:rsidRPr="00000000">
              <w:rPr>
                <w:rFonts w:ascii="Inter" w:cs="Inter" w:eastAsia="Inter" w:hAnsi="Inter"/>
                <w:rtl w:val="0"/>
              </w:rPr>
              <w:t xml:space="preserve">•  Medication, coding, &amp; billing (med rec, ICD-10/CPT crosswalk, prior auth, denial appeal)</w:t>
            </w:r>
          </w:p>
          <w:p w:rsidR="00000000" w:rsidDel="00000000" w:rsidP="00000000" w:rsidRDefault="00000000" w:rsidRPr="00000000" w14:paraId="00000031">
            <w:pPr>
              <w:spacing w:after="30" w:lineRule="auto"/>
              <w:ind w:left="200"/>
              <w:rPr>
                <w:rFonts w:ascii="Inter" w:cs="Inter" w:eastAsia="Inter" w:hAnsi="Inter"/>
              </w:rPr>
            </w:pPr>
            <w:r w:rsidDel="00000000" w:rsidR="00000000" w:rsidRPr="00000000">
              <w:rPr>
                <w:rFonts w:ascii="Inter" w:cs="Inter" w:eastAsia="Inter" w:hAnsi="Inter"/>
                <w:rtl w:val="0"/>
              </w:rPr>
              <w:t xml:space="preserve">•  Care transitions &amp; coordination (transfer note, post-discharge follow-up, home health plan, hospice/palliative)</w:t>
            </w:r>
          </w:p>
          <w:p w:rsidR="00000000" w:rsidDel="00000000" w:rsidP="00000000" w:rsidRDefault="00000000" w:rsidRPr="00000000" w14:paraId="00000032">
            <w:pPr>
              <w:spacing w:after="30" w:lineRule="auto"/>
              <w:ind w:left="200"/>
              <w:rPr>
                <w:rFonts w:ascii="Inter" w:cs="Inter" w:eastAsia="Inter" w:hAnsi="Inter"/>
              </w:rPr>
            </w:pPr>
            <w:r w:rsidDel="00000000" w:rsidR="00000000" w:rsidRPr="00000000">
              <w:rPr>
                <w:rFonts w:ascii="Inter" w:cs="Inter" w:eastAsia="Inter" w:hAnsi="Inter"/>
                <w:rtl w:val="0"/>
              </w:rPr>
              <w:t xml:space="preserve">•  Quality, safety, &amp; oversight (RCA, sentinel event, M&amp;M, peer review, OPPE/FPPE, utilization review)</w:t>
            </w:r>
          </w:p>
          <w:p w:rsidR="00000000" w:rsidDel="00000000" w:rsidP="00000000" w:rsidRDefault="00000000" w:rsidRPr="00000000" w14:paraId="00000033">
            <w:pPr>
              <w:spacing w:after="30" w:lineRule="auto"/>
              <w:ind w:left="200"/>
              <w:rPr>
                <w:rFonts w:ascii="Inter" w:cs="Inter" w:eastAsia="Inter" w:hAnsi="Inter"/>
              </w:rPr>
            </w:pPr>
            <w:r w:rsidDel="00000000" w:rsidR="00000000" w:rsidRPr="00000000">
              <w:rPr>
                <w:rFonts w:ascii="Inter" w:cs="Inter" w:eastAsia="Inter" w:hAnsi="Inter"/>
                <w:rtl w:val="0"/>
              </w:rPr>
              <w:t xml:space="preserve">•  Administrative-clinical hybrid (FMLA, disability, ADA accommodation, return-to-work, workers' comp, SAP)</w:t>
            </w:r>
          </w:p>
          <w:p w:rsidR="00000000" w:rsidDel="00000000" w:rsidP="00000000" w:rsidRDefault="00000000" w:rsidRPr="00000000" w14:paraId="00000034">
            <w:pPr>
              <w:ind w:left="200"/>
              <w:rPr>
                <w:rFonts w:ascii="Inter" w:cs="Inter" w:eastAsia="Inter" w:hAnsi="Inter"/>
              </w:rPr>
            </w:pPr>
            <w:r w:rsidDel="00000000" w:rsidR="00000000" w:rsidRPr="00000000">
              <w:rPr>
                <w:rFonts w:ascii="Inter" w:cs="Inter" w:eastAsia="Inter" w:hAnsi="Inter"/>
                <w:rtl w:val="0"/>
              </w:rPr>
              <w:t xml:space="preserve">•  Specialty evaluation &amp; legal-medical (VA disability, SSDI, IME, pre-op clearance, school medical form)</w:t>
            </w:r>
          </w:p>
        </w:tc>
        <w:tc>
          <w:tcPr>
            <w:tcBorders>
              <w:top w:color="bfbfbf" w:space="0" w:sz="4" w:val="single"/>
              <w:left w:color="bfbfbf" w:space="0" w:sz="4" w:val="single"/>
              <w:bottom w:color="bfbfbf" w:space="0" w:sz="4" w:val="single"/>
              <w:right w:color="bfbfbf" w:space="0" w:sz="4" w:val="single"/>
            </w:tcBorders>
            <w:tcMar>
              <w:top w:w="100.0" w:type="dxa"/>
              <w:left w:w="140.0" w:type="dxa"/>
              <w:bottom w:w="100.0" w:type="dxa"/>
              <w:right w:w="140.0" w:type="dxa"/>
            </w:tcMar>
          </w:tcPr>
          <w:p w:rsidR="00000000" w:rsidDel="00000000" w:rsidP="00000000" w:rsidRDefault="00000000" w:rsidRPr="00000000" w14:paraId="00000035">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1 is a discharge medication reconciliation. Draws on the three-way med discrepancy and the buried dose change. Set at hospital day 7, which is the final day of the world."</w:t>
            </w:r>
            <w:r w:rsidDel="00000000" w:rsidR="00000000" w:rsidRPr="00000000">
              <w:rPr>
                <w:rtl w:val="0"/>
              </w:rPr>
            </w:r>
          </w:p>
          <w:p w:rsidR="00000000" w:rsidDel="00000000" w:rsidP="00000000" w:rsidRDefault="00000000" w:rsidRPr="00000000" w14:paraId="00000036">
            <w:pPr>
              <w:spacing w:after="30" w:lineRule="auto"/>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2 is a pre-operative clearance note. Draws on the cardiology/nephrology friction and the chronic disease profile. Set 2 weeks after the last day of the clinical timeline (discharge date)."</w:t>
            </w:r>
            <w:r w:rsidDel="00000000" w:rsidR="00000000" w:rsidRPr="00000000">
              <w:rPr>
                <w:rtl w:val="0"/>
              </w:rPr>
            </w:r>
          </w:p>
          <w:p w:rsidR="00000000" w:rsidDel="00000000" w:rsidP="00000000" w:rsidRDefault="00000000" w:rsidRPr="00000000" w14:paraId="00000037">
            <w:pPr>
              <w:rPr>
                <w:rFonts w:ascii="Inter" w:cs="Inter" w:eastAsia="Inter" w:hAnsi="Inter"/>
                <w:color w:val="1f2328"/>
              </w:rPr>
            </w:pPr>
            <w:r w:rsidDel="00000000" w:rsidR="00000000" w:rsidRPr="00000000">
              <w:rPr>
                <w:rFonts w:ascii="Inter" w:cs="Inter" w:eastAsia="Inter" w:hAnsi="Inter"/>
                <w:i w:val="1"/>
                <w:iCs w:val="1"/>
                <w:color w:val="1f2328"/>
                <w:rtl w:val="0"/>
              </w:rPr>
              <w:t xml:space="preserve">"Task 3 is the RCA write-up itself (medical director world). Draws on every friction and trap. Set 4 weeks after the index event."</w:t>
            </w:r>
            <w:r w:rsidDel="00000000" w:rsidR="00000000" w:rsidRPr="00000000">
              <w:rPr>
                <w:rtl w:val="0"/>
              </w:rPr>
            </w:r>
          </w:p>
        </w:tc>
      </w:tr>
    </w:tbl>
    <w:p w:rsidR="00000000" w:rsidDel="00000000" w:rsidP="00000000" w:rsidRDefault="00000000" w:rsidRPr="00000000" w14:paraId="00000038">
      <w:pPr>
        <w:spacing w:after="120" w:lineRule="auto"/>
        <w:rPr>
          <w:rFonts w:ascii="Inter" w:cs="Inter" w:eastAsia="Inter" w:hAnsi="Inter"/>
          <w:color w:val="020817"/>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spreadsheets/d/1YRUwLm3oLjlL2v2g-_lw9rC_NeJ5gcpHBX6_M_HHh4c/edit?gid=668143205#gid=66814320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