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4F46E5"/>
        </w:rPr>
        <w:t>Project Sanctum: Approved Task Selection Categories</w:t>
      </w:r>
    </w:p>
    <w:p>
      <w:r>
        <w:rPr>
          <w:b/>
          <w:sz w:val="22"/>
        </w:rPr>
        <w:t>With Suggestions to Increase Task Difficulty — Updated 06/18/2026</w:t>
      </w:r>
    </w:p>
    <w:p>
      <w:r>
        <w:rPr>
          <w:i/>
        </w:rPr>
        <w:t>Each workflow below retains its original Priority, Definition, and Output (work product). Two new columns have been added: “Suggestions to Increase Task Difficulty,” with ideas for embedding traps, conflicting information, or version-pinned guideline updates, and “Suggested Resources,” pointing to the official, vendor, or Project Sanctum-internal reference each suggestion draws on. Resources from the Project Sanctum Custom Clinical Data Generators and Public Domain Files guidance (EEG, EKG, EFM, ventilator, lab, and radiology simulators; LabCorp reference; and NIH/CDC/WHO/LITFL/Radiopaedia public-domain image sourcing) have been incorporated where relevant to a workflow's specialty. Audio-file resources and AI-generated image guidance from those source documents are intentionally excluded. These are starting points for task writers, not prescriptive requirements — clinical specifics (drug interactions, dosing thresholds, guideline citations) should always be verified by your clinical SMEs against the current version of the cited source before a task ships. Vendor tools (InterQual, MCG, Lexicomp, Micromedex, CLSI, AABB) require your organization's existing license; no login-gated content is reproduced here, only the official product/reference name.</w:t>
      </w:r>
    </w:p>
    <w:p/>
    <w:tbl>
      <w:tblPr>
        <w:tblStyle w:val="TableGrid"/>
        <w:tblW w:type="auto" w:w="0"/>
        <w:tblLayout w:type="fixed"/>
        <w:tblLook w:firstColumn="1" w:firstRow="1" w:lastColumn="0" w:lastRow="0" w:noHBand="0" w:noVBand="1" w:val="04A0"/>
      </w:tblPr>
      <w:tblGrid>
        <w:gridCol w:w="2448"/>
        <w:gridCol w:w="2448"/>
        <w:gridCol w:w="2448"/>
        <w:gridCol w:w="2448"/>
        <w:gridCol w:w="2448"/>
        <w:gridCol w:w="2448"/>
      </w:tblGrid>
      <w:tr>
        <w:tc>
          <w:tcPr>
            <w:tcW w:type="dxa" w:w="792"/>
            <w:shd w:val="clear" w:fill="D5E8F0"/>
          </w:tcPr>
          <w:p>
            <w:r/>
            <w:r>
              <w:rPr>
                <w:rFonts w:ascii="Arial" w:hAnsi="Arial"/>
                <w:b/>
                <w:sz w:val="18"/>
              </w:rPr>
              <w:t>Priority</w:t>
            </w:r>
          </w:p>
        </w:tc>
        <w:tc>
          <w:tcPr>
            <w:tcW w:type="dxa" w:w="2016"/>
            <w:shd w:val="clear" w:fill="D5E8F0"/>
          </w:tcPr>
          <w:p>
            <w:r/>
            <w:r>
              <w:rPr>
                <w:rFonts w:ascii="Arial" w:hAnsi="Arial"/>
                <w:b/>
                <w:sz w:val="18"/>
              </w:rPr>
              <w:t>Workflow</w:t>
            </w:r>
          </w:p>
        </w:tc>
        <w:tc>
          <w:tcPr>
            <w:tcW w:type="dxa" w:w="3600"/>
            <w:shd w:val="clear" w:fill="D5E8F0"/>
          </w:tcPr>
          <w:p>
            <w:r/>
            <w:r>
              <w:rPr>
                <w:rFonts w:ascii="Arial" w:hAnsi="Arial"/>
                <w:b/>
                <w:sz w:val="18"/>
              </w:rPr>
              <w:t>Definition</w:t>
            </w:r>
          </w:p>
        </w:tc>
        <w:tc>
          <w:tcPr>
            <w:tcW w:type="dxa" w:w="2736"/>
            <w:shd w:val="clear" w:fill="D5E8F0"/>
          </w:tcPr>
          <w:p>
            <w:r/>
            <w:r>
              <w:rPr>
                <w:rFonts w:ascii="Arial" w:hAnsi="Arial"/>
                <w:b/>
                <w:sz w:val="18"/>
              </w:rPr>
              <w:t>Output (work product)</w:t>
            </w:r>
          </w:p>
        </w:tc>
        <w:tc>
          <w:tcPr>
            <w:tcW w:type="dxa" w:w="3600"/>
            <w:shd w:val="clear" w:fill="D5E8F0"/>
          </w:tcPr>
          <w:p>
            <w:r/>
            <w:r>
              <w:rPr>
                <w:rFonts w:ascii="Arial" w:hAnsi="Arial"/>
                <w:b/>
                <w:sz w:val="18"/>
              </w:rPr>
              <w:t>Suggestions to Increase Task Difficulty</w:t>
            </w:r>
          </w:p>
        </w:tc>
        <w:tc>
          <w:tcPr>
            <w:tcW w:type="dxa" w:w="2880"/>
            <w:shd w:val="clear" w:fill="D5E8F0"/>
          </w:tcPr>
          <w:p>
            <w:r/>
            <w:r>
              <w:rPr>
                <w:rFonts w:ascii="Arial" w:hAnsi="Arial"/>
                <w:b/>
                <w:sz w:val="18"/>
              </w:rPr>
              <w:t>Suggested Resources</w:t>
            </w:r>
          </w:p>
        </w:tc>
      </w:tr>
      <w:tr>
        <w:tc>
          <w:tcPr>
            <w:tcW w:type="dxa" w:w="792"/>
          </w:tcPr>
          <w:p>
            <w:r>
              <w:rPr>
                <w:rFonts w:ascii="Arial" w:hAnsi="Arial"/>
                <w:b/>
                <w:sz w:val="17"/>
              </w:rPr>
              <w:t>P0</w:t>
            </w:r>
          </w:p>
        </w:tc>
        <w:tc>
          <w:tcPr>
            <w:tcW w:type="dxa" w:w="2016"/>
          </w:tcPr>
          <w:p>
            <w:r>
              <w:rPr>
                <w:rFonts w:ascii="Arial" w:hAnsi="Arial"/>
                <w:sz w:val="17"/>
              </w:rPr>
              <w:t>Prior Authorization Request and Management</w:t>
            </w:r>
          </w:p>
        </w:tc>
        <w:tc>
          <w:tcPr>
            <w:tcW w:type="dxa" w:w="3600"/>
          </w:tcPr>
          <w:p>
            <w:r>
              <w:rPr>
                <w:rFonts w:ascii="Arial" w:hAnsi="Arial"/>
                <w:sz w:val="17"/>
              </w:rPr>
              <w:t>The specialist must orchestrate information and actions across multiple systems and stakeholders through the full PA lifecycle: (1) querying the EHR for clinical documentation, (2) checking payer portals for authorization requirements and clinical criteria, (3) gathering supporting records from multiple clinical departments, (4) assembling and submitting a compliant request package, (5) tracking payer response within mandated timeframes, (6) coordinating follow-up actions including additional information requests and peer-to-peer reviews with physicians, and (7) routing approved authorizations to scheduling or routing denials to appeals teams. The lifecycle management aspect, juggling dozens of concurrent cases across different payers and determination stages, elevates this beyond single-transaction orchestration.</w:t>
            </w:r>
          </w:p>
        </w:tc>
        <w:tc>
          <w:tcPr>
            <w:tcW w:type="dxa" w:w="2736"/>
          </w:tcPr>
          <w:p>
            <w:r>
              <w:rPr>
                <w:rFonts w:ascii="Arial" w:hAnsi="Arial"/>
                <w:sz w:val="17"/>
              </w:rPr>
              <w:t>Prior authorization request submitted with supporting documentation and tracking/reference number recorded.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Prior Authorization Request Preparation</w:t>
            </w:r>
          </w:p>
        </w:tc>
        <w:tc>
          <w:tcPr>
            <w:tcW w:type="dxa" w:w="3600"/>
          </w:tcPr>
          <w:p>
            <w:r>
              <w:rPr>
                <w:rFonts w:ascii="Arial" w:hAnsi="Arial"/>
                <w:sz w:val="17"/>
              </w:rPr>
              <w:t>The specialist must orchestrate information across multiple systems and stakeholders: querying the EHR for clinical documentation, checking payer portals for authorization requirements and clinical criteria, gathering supporting records (labs, imaging, prior treatment history), assembling a compliant submission package, and tracking the request through to determination. Requires judgment in selecting which clinical evidence best supports medical necessity against payer-specific criteria, but the criteria themselves are published and structured. When requests are denied, the specialist must coordinate appeals involving clinical staff, peer-to-peer reviews, and additional documentation.</w:t>
            </w:r>
          </w:p>
        </w:tc>
        <w:tc>
          <w:tcPr>
            <w:tcW w:type="dxa" w:w="2736"/>
          </w:tcPr>
          <w:p>
            <w:r>
              <w:rPr>
                <w:rFonts w:ascii="Arial" w:hAnsi="Arial"/>
                <w:sz w:val="17"/>
              </w:rPr>
              <w:t>Prior authorization request submitted with supporting documentation and tracking/reference number recorded.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Prior Authorization Request Preparation and Submission</w:t>
            </w:r>
          </w:p>
        </w:tc>
        <w:tc>
          <w:tcPr>
            <w:tcW w:type="dxa" w:w="3600"/>
          </w:tcPr>
          <w:p>
            <w:r>
              <w:rPr>
                <w:rFonts w:ascii="Arial" w:hAnsi="Arial"/>
                <w:sz w:val="17"/>
              </w:rPr>
              <w:t>The specialist must orchestrate information across multiple systems and stakeholders: querying the EHR for clinical documentation, checking payer portals for authorization requirements and clinical criteria, gathering supporting records (labs, imaging, prior treatment history), assembling a compliant submission package, and tracking the request through to determination. Requires judgment in selecting which clinical evidence best supports medical necessity against payer-specific criteria, but the criteria themselves are published and structured. When requests are denied, the specialist must coordinate appeals involving clinical staff, peer-to-peer reviews, and additional documentation.</w:t>
            </w:r>
          </w:p>
        </w:tc>
        <w:tc>
          <w:tcPr>
            <w:tcW w:type="dxa" w:w="2736"/>
          </w:tcPr>
          <w:p>
            <w:r>
              <w:rPr>
                <w:rFonts w:ascii="Arial" w:hAnsi="Arial"/>
                <w:sz w:val="17"/>
              </w:rPr>
              <w:t>Prior authorization request submitted with supporting documentation and tracking/reference number recorded.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Charge Capture Review and Reconciliation</w:t>
            </w:r>
          </w:p>
        </w:tc>
        <w:tc>
          <w:tcPr>
            <w:tcW w:type="dxa" w:w="3600"/>
          </w:tcPr>
          <w:p>
            <w:r>
              <w:rPr>
                <w:rFonts w:ascii="Arial" w:hAnsi="Arial"/>
                <w:sz w:val="17"/>
              </w:rPr>
              <w:t>Requires coordinating data from multiple clinical and financial systems, EHR encounter records, operating room logs, pharmacy dispensing systems, radiology information systems, laboratory information systems, supply chain/implant tracking, and the hospital chargemaster, to ensure all billable services are captured and correctly coded. The reconciliation process involves cross- referencing appointment schedules against charge postings, identifying discrepancies, investigating root causes with clinical departments, and resolving exceptions before claims submission. Memorial Hermann Health System implemented automated charge capture reconciliation through FinThrive after finding that manual charge auditing caused missed charges, billing errors, and revenue leakage. This multi-system orchestration distinguishes it from single-source adjudication tasks.</w:t>
            </w:r>
          </w:p>
        </w:tc>
        <w:tc>
          <w:tcPr>
            <w:tcW w:type="dxa" w:w="2736"/>
          </w:tcPr>
          <w:p>
            <w:r>
              <w:rPr>
                <w:rFonts w:ascii="Arial" w:hAnsi="Arial"/>
                <w:sz w:val="17"/>
              </w:rPr>
              <w:t>Reconciled charges/charge file ready for claim generation and submission.</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P0</w:t>
            </w:r>
          </w:p>
        </w:tc>
        <w:tc>
          <w:tcPr>
            <w:tcW w:type="dxa" w:w="2016"/>
          </w:tcPr>
          <w:p>
            <w:r>
              <w:rPr>
                <w:rFonts w:ascii="Arial" w:hAnsi="Arial"/>
                <w:sz w:val="17"/>
              </w:rPr>
              <w:t>Chronic Care Management Care Plan Development</w:t>
            </w:r>
          </w:p>
        </w:tc>
        <w:tc>
          <w:tcPr>
            <w:tcW w:type="dxa" w:w="3600"/>
          </w:tcPr>
          <w:p>
            <w:r>
              <w:rPr>
                <w:rFonts w:ascii="Arial" w:hAnsi="Arial"/>
                <w:sz w:val="17"/>
              </w:rPr>
              <w:t>The clinician must orchestrate data from multiple sources (EHR, lab systems, pharmacy records, specialist notes, patient self-reports, community resource directories) to develop a comprehensive, individualized care plan. The care plan must address each qualifying chronic condition with problem-specific goals, interventions, responsible parties, and timelines. It requires cross-referencing medication lists for interactions and adherence barriers, coordinating with specialists and community services, incorporating patient preferences and self-management capabilities, and documenting the plan in the EHR in a format accessible to all providers involved in the patient's care. Monthly reviews require synthesizing interval changes (new lab results, hospitalizations, specialist visits, medication changes) and revising goals and interventions accordingly. The workflow spans clinical judgment, patient communication, care coordination, and regulatory documentation compliance.</w:t>
            </w:r>
          </w:p>
        </w:tc>
        <w:tc>
          <w:tcPr>
            <w:tcW w:type="dxa" w:w="2736"/>
          </w:tcPr>
          <w:p>
            <w:r>
              <w:rPr>
                <w:rFonts w:ascii="Arial" w:hAnsi="Arial"/>
                <w:sz w:val="17"/>
              </w:rPr>
              <w:t>Comprehensive chronic care management plan documenting all active conditions, measurable treatment goals, medication management, self-management education, care team coordination notes, and monthly time tracking supporting CPT 99490/99491 billing.</w:t>
            </w:r>
          </w:p>
        </w:tc>
        <w:tc>
          <w:tcPr>
            <w:tcW w:type="dxa" w:w="3600"/>
          </w:tcPr>
          <w:p>
            <w:r>
              <w:rPr>
                <w:rFonts w:ascii="Arial" w:hAnsi="Arial"/>
                <w:sz w:val="17"/>
              </w:rPr>
              <w:t>Add a guideline conflict between two conditions (e.g., a medication indicated for one chronic condition but relatively contraindicated for another the same patient has) so the agent must reconcile competing recommendations.</w:t>
            </w:r>
          </w:p>
        </w:tc>
        <w:tc>
          <w:tcPr>
            <w:tcW w:type="dxa" w:w="2880"/>
          </w:tcPr>
          <w:p>
            <w:r>
              <w:rPr>
                <w:rFonts w:ascii="Arial" w:hAnsi="Arial"/>
                <w:sz w:val="17"/>
              </w:rPr>
              <w:t>CDC chronic disease guidelines hub: https://www.cdc.gov/chronicdisease/ | Specialty society guideline pages (e.g., ACC/AHA, ADA) as relevant to the specific condition pair</w:t>
            </w:r>
          </w:p>
        </w:tc>
      </w:tr>
      <w:tr>
        <w:tc>
          <w:tcPr>
            <w:tcW w:type="dxa" w:w="792"/>
          </w:tcPr>
          <w:p>
            <w:r>
              <w:rPr>
                <w:rFonts w:ascii="Arial" w:hAnsi="Arial"/>
                <w:b/>
                <w:sz w:val="17"/>
              </w:rPr>
              <w:t>P0</w:t>
            </w:r>
          </w:p>
        </w:tc>
        <w:tc>
          <w:tcPr>
            <w:tcW w:type="dxa" w:w="2016"/>
          </w:tcPr>
          <w:p>
            <w:r>
              <w:rPr>
                <w:rFonts w:ascii="Arial" w:hAnsi="Arial"/>
                <w:sz w:val="17"/>
              </w:rPr>
              <w:t>Claims Denial Analysis and Appeal Preparation</w:t>
            </w:r>
          </w:p>
        </w:tc>
        <w:tc>
          <w:tcPr>
            <w:tcW w:type="dxa" w:w="3600"/>
          </w:tcPr>
          <w:p>
            <w:r>
              <w:rPr>
                <w:rFonts w:ascii="Arial" w:hAnsi="Arial"/>
                <w:sz w:val="17"/>
              </w:rPr>
              <w:t>The core challenge is adjudication, the denial analyst must weigh payer denial rationale (expressed via CARC/RARC codes) against clinical documentation, medical necessity criteria, payer contract terms, and regulatory requirements to determine whether a denial is valid or overturnable, then construct a persuasive clinical and regulatory argument for appeal. Each denial requires judgment about root cause classification, appealability, optimal appeal strategy, and strength of clinical evidence</w:t>
            </w:r>
          </w:p>
        </w:tc>
        <w:tc>
          <w:tcPr>
            <w:tcW w:type="dxa" w:w="2736"/>
          </w:tcPr>
          <w:p>
            <w:r>
              <w:rPr>
                <w:rFonts w:ascii="Arial" w:hAnsi="Arial"/>
                <w:sz w:val="17"/>
              </w:rPr>
              <w:t>Denial root-cause analysis and/or appeal packet prepared/submitted with documentation and tracking log.</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P0</w:t>
            </w:r>
          </w:p>
        </w:tc>
        <w:tc>
          <w:tcPr>
            <w:tcW w:type="dxa" w:w="2016"/>
          </w:tcPr>
          <w:p>
            <w:r>
              <w:rPr>
                <w:rFonts w:ascii="Arial" w:hAnsi="Arial"/>
                <w:sz w:val="17"/>
              </w:rPr>
              <w:t>Clinical Documentation Improvement (CDI) Query Management</w:t>
            </w:r>
          </w:p>
        </w:tc>
        <w:tc>
          <w:tcPr>
            <w:tcW w:type="dxa" w:w="3600"/>
          </w:tcPr>
          <w:p>
            <w:r>
              <w:rPr>
                <w:rFonts w:ascii="Arial" w:hAnsi="Arial"/>
                <w:sz w:val="17"/>
              </w:rPr>
              <w:t>The CDI specialist must adjudicate whether clinical evidence in the medical record warrants a physician query, determine the appropriate query type (open-ended, multiple-choice, yes/no), select relevant clinical indicators to cite without leading the physician, and decide when to escalate unanswered queries versus re-querying or accepting documentation as-is. Each query requires balancing documentation accuracy goals against compliance constraints, physician relationship management, and regulatory risk.</w:t>
            </w:r>
          </w:p>
        </w:tc>
        <w:tc>
          <w:tcPr>
            <w:tcW w:type="dxa" w:w="2736"/>
          </w:tcPr>
          <w:p>
            <w:r>
              <w:rPr>
                <w:rFonts w:ascii="Arial" w:hAnsi="Arial"/>
                <w:sz w:val="17"/>
              </w:rPr>
              <w:t>Tracked and managed CDI query lifecycle dashboard showing open, pending, and resolved queries with physician response rates, query agreement rates, and impact on DRG/severity of illness capture.</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P0</w:t>
            </w:r>
          </w:p>
        </w:tc>
        <w:tc>
          <w:tcPr>
            <w:tcW w:type="dxa" w:w="2016"/>
          </w:tcPr>
          <w:p>
            <w:r>
              <w:rPr>
                <w:rFonts w:ascii="Arial" w:hAnsi="Arial"/>
                <w:sz w:val="17"/>
              </w:rPr>
              <w:t>Medication Reconciliation at Care Transitions</w:t>
            </w:r>
          </w:p>
        </w:tc>
        <w:tc>
          <w:tcPr>
            <w:tcW w:type="dxa" w:w="3600"/>
          </w:tcPr>
          <w:p>
            <w:r>
              <w:rPr>
                <w:rFonts w:ascii="Arial" w:hAnsi="Arial"/>
                <w:sz w:val="17"/>
              </w:rPr>
              <w:t>Core challenge is adjudicating discrepancies between multiple medication sources, EHR records, pharmacy dispensing data, patient self-report, prior facility records, and determining which represent intentional therapeutic changes versus unintentional errors requiring resolution. Requires clinical judgment to weigh risk, therapeutic appropriateness, and patient-specific factors.</w:t>
            </w:r>
          </w:p>
        </w:tc>
        <w:tc>
          <w:tcPr>
            <w:tcW w:type="dxa" w:w="2736"/>
          </w:tcPr>
          <w:p>
            <w:r>
              <w:rPr>
                <w:rFonts w:ascii="Arial" w:hAnsi="Arial"/>
                <w:sz w:val="17"/>
              </w:rPr>
              <w:t>Reconciled medication list documenting all active medications with dose, route, frequency, and any changes (new, discontinued, modified) with clinical rationale for each change at the care transition point.</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P0</w:t>
            </w:r>
          </w:p>
        </w:tc>
        <w:tc>
          <w:tcPr>
            <w:tcW w:type="dxa" w:w="2016"/>
          </w:tcPr>
          <w:p>
            <w:r>
              <w:rPr>
                <w:rFonts w:ascii="Arial" w:hAnsi="Arial"/>
                <w:sz w:val="17"/>
              </w:rPr>
              <w:t>Prior Authorization Appeal and Reconsideration</w:t>
            </w:r>
          </w:p>
        </w:tc>
        <w:tc>
          <w:tcPr>
            <w:tcW w:type="dxa" w:w="3600"/>
          </w:tcPr>
          <w:p>
            <w:r>
              <w:rPr>
                <w:rFonts w:ascii="Arial" w:hAnsi="Arial"/>
                <w:sz w:val="17"/>
              </w:rPr>
              <w:t>Requires synthesizing information from multiple sources, the denial letter and its stated rationale, the patient's medical record, clinical guidelines (InterQual/MCG/specialty society), payer-specific medical policies, peer- reviewed literature, and regulatory requirements, into a cohesive clinical argument demonstrating medical necessity. The appeal letter must directly rebut the payer's denial rationale with supporting evidence. This is not simple rule application (execution) or multi-system coordination (orchestration), but rather evidence synthesis requiring clinical judgment to construct a persuasive case.</w:t>
            </w:r>
          </w:p>
        </w:tc>
        <w:tc>
          <w:tcPr>
            <w:tcW w:type="dxa" w:w="2736"/>
          </w:tcPr>
          <w:p>
            <w:r>
              <w:rPr>
                <w:rFonts w:ascii="Arial" w:hAnsi="Arial"/>
                <w:sz w:val="17"/>
              </w:rPr>
              <w:t>Prior authorization appeal/reconsideration letter and supporting clinical documentation submitted and tracked.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Prior Authorization Request Documentation</w:t>
            </w:r>
          </w:p>
        </w:tc>
        <w:tc>
          <w:tcPr>
            <w:tcW w:type="dxa" w:w="3600"/>
          </w:tcPr>
          <w:p>
            <w:r>
              <w:rPr>
                <w:rFonts w:ascii="Arial" w:hAnsi="Arial"/>
                <w:sz w:val="17"/>
              </w:rPr>
              <w:t>The specialist must orchestrate information across multiple systems and stakeholders to assemble a compliant documentation package: querying the EHR for clinical documentation (progress notes, lab results, imaging reports, medication history), checking payer portals for service-specific authorization requirements and clinical criteria, gathering supporting records from multiple clinical departments, mapping clinical evidence to payer criteria, drafting medical necessity narratives, assembling the complete submission package, and submitting through the correct payer channel. Requires judgment in selecting which clinical evidence best supports medical necessity against payer-specific criteria, but the criteria themselves are published and structured. The fragmentation across 3-5 different systems per request, each payer with its own portal, form, criteria, and documentation requirements, is the primary orchestration challenge.</w:t>
            </w:r>
          </w:p>
        </w:tc>
        <w:tc>
          <w:tcPr>
            <w:tcW w:type="dxa" w:w="2736"/>
          </w:tcPr>
          <w:p>
            <w:r>
              <w:rPr>
                <w:rFonts w:ascii="Arial" w:hAnsi="Arial"/>
                <w:sz w:val="17"/>
              </w:rPr>
              <w:t>Prior authorization request submitted with supporting documentation and tracking/reference number recorded.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Claim Denial Root Cause Analysis and Appeal Preparation</w:t>
            </w:r>
          </w:p>
        </w:tc>
        <w:tc>
          <w:tcPr>
            <w:tcW w:type="dxa" w:w="3600"/>
          </w:tcPr>
          <w:p>
            <w:r>
              <w:rPr>
                <w:rFonts w:ascii="Arial" w:hAnsi="Arial"/>
                <w:sz w:val="17"/>
              </w:rPr>
              <w:t>Requires judgment to classify denial root causes, determine appealability, select appropriate appeal strategy, and synthesize clinical documentation into persuasive arguments against payer determinations</w:t>
            </w:r>
          </w:p>
        </w:tc>
        <w:tc>
          <w:tcPr>
            <w:tcW w:type="dxa" w:w="2736"/>
          </w:tcPr>
          <w:p>
            <w:r>
              <w:rPr>
                <w:rFonts w:ascii="Arial" w:hAnsi="Arial"/>
                <w:sz w:val="17"/>
              </w:rPr>
              <w:t>Denial root-cause analysis and/or appeal packet prepared/submitted with documentation and tracking log.</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P0</w:t>
            </w:r>
          </w:p>
        </w:tc>
        <w:tc>
          <w:tcPr>
            <w:tcW w:type="dxa" w:w="2016"/>
          </w:tcPr>
          <w:p>
            <w:r>
              <w:rPr>
                <w:rFonts w:ascii="Arial" w:hAnsi="Arial"/>
                <w:sz w:val="17"/>
              </w:rPr>
              <w:t>Clean Claim Submission and Scrubbing</w:t>
            </w:r>
          </w:p>
        </w:tc>
        <w:tc>
          <w:tcPr>
            <w:tcW w:type="dxa" w:w="3600"/>
          </w:tcPr>
          <w:p>
            <w:r>
              <w:rPr>
                <w:rFonts w:ascii="Arial" w:hAnsi="Arial"/>
                <w:sz w:val="17"/>
              </w:rPr>
              <w:t>Requires coordinating data from multiple systems, practice management system or EHR billing module, charge capture records, eligibility verification results, prior authorization records, claim scrubbing engine, clearinghouse, and payer portals, to produce clean claims that pass all edits on first submission. The scrubbing process involves cross-referencing coding against NCCI edits, LCD/NCD medical necessity rules, payer fee schedules, modifier requirements, timely filing deadlines, and patient demographic/insurance data accuracy. This multi-system orchestration with conditional logic branching distinguishes it from single-source execution tasks.</w:t>
            </w:r>
          </w:p>
        </w:tc>
        <w:tc>
          <w:tcPr>
            <w:tcW w:type="dxa" w:w="2736"/>
          </w:tcPr>
          <w:p>
            <w:r>
              <w:rPr>
                <w:rFonts w:ascii="Arial" w:hAnsi="Arial"/>
                <w:sz w:val="17"/>
              </w:rPr>
              <w:t>Scrubbed and validated claims (CMS-1500/UB-04) cleared of coding, demographic, and payer-specific errors, submitted electronically via EDI 837P/837I with confirmation of clearinghouse acceptance and payer receipt.</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P0</w:t>
            </w:r>
          </w:p>
        </w:tc>
        <w:tc>
          <w:tcPr>
            <w:tcW w:type="dxa" w:w="2016"/>
          </w:tcPr>
          <w:p>
            <w:r>
              <w:rPr>
                <w:rFonts w:ascii="Arial" w:hAnsi="Arial"/>
                <w:sz w:val="17"/>
              </w:rPr>
              <w:t>Clinical Documentation Improvement (CDI) Query Response Review</w:t>
            </w:r>
          </w:p>
        </w:tc>
        <w:tc>
          <w:tcPr>
            <w:tcW w:type="dxa" w:w="3600"/>
          </w:tcPr>
          <w:p>
            <w:r>
              <w:rPr>
                <w:rFonts w:ascii="Arial" w:hAnsi="Arial"/>
                <w:sz w:val="17"/>
              </w:rPr>
              <w:t>CDI specialist must adjudicate whether physician response adequately addresses the documentation gap, aligns with clinical indicators, and supports compliant code assignment</w:t>
            </w:r>
          </w:p>
        </w:tc>
        <w:tc>
          <w:tcPr>
            <w:tcW w:type="dxa" w:w="2736"/>
          </w:tcPr>
          <w:p>
            <w:r>
              <w:rPr>
                <w:rFonts w:ascii="Arial" w:hAnsi="Arial"/>
                <w:sz w:val="17"/>
              </w:rPr>
              <w:t>Reviewed physician query response with determination of agreement/disagreement, updated working DRG impact, documentation amendment verification in the medical record, and escalation notes for non-responsive or unclear responses.</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P0</w:t>
            </w:r>
          </w:p>
        </w:tc>
        <w:tc>
          <w:tcPr>
            <w:tcW w:type="dxa" w:w="2016"/>
          </w:tcPr>
          <w:p>
            <w:r>
              <w:rPr>
                <w:rFonts w:ascii="Arial" w:hAnsi="Arial"/>
                <w:sz w:val="17"/>
              </w:rPr>
              <w:t>Inpatient Medical Coding and DRG Assignment</w:t>
            </w:r>
          </w:p>
        </w:tc>
        <w:tc>
          <w:tcPr>
            <w:tcW w:type="dxa" w:w="3600"/>
          </w:tcPr>
          <w:p>
            <w:r>
              <w:rPr>
                <w:rFonts w:ascii="Arial" w:hAnsi="Arial"/>
                <w:sz w:val="17"/>
              </w:rPr>
              <w:t>The coder must adjudicate between multiple possible code assignments by interpreting clinical documentation against ICD-10-CM Official Guidelines, ICD-10-PCS root operation definitions, AHA Coding Clinic advisories, and MS-DRG optimization rules. For each discharge the coder determines: (1) the principal diagnosis per UHDDS definition by weighing multiple documented conditions; (2) which secondary diagnoses meet reporting criteria and whether they function as CCs or MCCs; (3) the correct ICD-10-PCS root operation by mapping surgical terminology to PCS definitions (e.g., Excision vs. Resection vs. Extraction); (4) POA indicator assignment requiring clinical timeline reconstruction; (5) whether the resulting MS-DRG assignment is clinically coherent and optimized given documented conditions; and (6) whether clinical documentation supports the coded data or requires a physician query.</w:t>
            </w:r>
          </w:p>
        </w:tc>
        <w:tc>
          <w:tcPr>
            <w:tcW w:type="dxa" w:w="2736"/>
          </w:tcPr>
          <w:p>
            <w:r>
              <w:rPr>
                <w:rFonts w:ascii="Arial" w:hAnsi="Arial"/>
                <w:sz w:val="17"/>
              </w:rPr>
              <w:t>Final ICD-10-CM/PCS codes and MS-DRG assignment recorded in coding/billing system.</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Laboratory Prior Authorization Processing</w:t>
            </w:r>
          </w:p>
        </w:tc>
        <w:tc>
          <w:tcPr>
            <w:tcW w:type="dxa" w:w="3600"/>
          </w:tcPr>
          <w:p>
            <w:r>
              <w:rPr>
                <w:rFonts w:ascii="Arial" w:hAnsi="Arial"/>
                <w:sz w:val="17"/>
              </w:rPr>
              <w:t>The specialist must orchestrate information across multiple systems and stakeholders: querying the laboratory information system (LIS) for test order details and specimen status, accessing payer portals to determine PA requirements and submit requests, gathering clinical documentation from ordering providers (often via fax or EHR portal), cross-referencing payer medical policies and clinical criteria databases (EviCore, Carelon/AIM, InterQual) against the patient's clinical indication, and coordinating with the ordering physician's office when additional documentation is needed. Unlike general medical PA where the provider's office initiates, laboratory PA is frequently initiated by the laboratory after receiving the test order, requiring outbound coordination with the ordering provider's office to obtain clinical documentation the lab does not possess. When requests are denied, the specialist must coordinate appeals involving laboratory medical directors and ordering physicians.</w:t>
            </w:r>
          </w:p>
        </w:tc>
        <w:tc>
          <w:tcPr>
            <w:tcW w:type="dxa" w:w="2736"/>
          </w:tcPr>
          <w:p>
            <w:r>
              <w:rPr>
                <w:rFonts w:ascii="Arial" w:hAnsi="Arial"/>
                <w:sz w:val="17"/>
              </w:rPr>
              <w:t>Processed prior authorization determination with approval/denial status, authorization reference number, approved test panel and quantity, validity period, and communication of results to ordering physician and patient service center.</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Patient Risk Stratification Assessment</w:t>
            </w:r>
          </w:p>
        </w:tc>
        <w:tc>
          <w:tcPr>
            <w:tcW w:type="dxa" w:w="3600"/>
          </w:tcPr>
          <w:p>
            <w:r>
              <w:rPr>
                <w:rFonts w:ascii="Arial" w:hAnsi="Arial"/>
                <w:sz w:val="17"/>
              </w:rPr>
              <w:t>Risk stratification requires synthesizing heterogeneous data from multiple systems, clinical diagnoses from EHR problem lists, claims-based risk scores (HCC/RAF), utilization history (ED visits, hospitalizations, readmissions), pharmacy data (polypharmacy, high-risk medications), laboratory trends (HbA1c, eGFR, BNP), functional status assessments, behavioral health screens (PHQ-9, GAD-7), and social determinant indicators (housing instability, food insecurity, transportation barriers), into a unified patient risk profile. The synthesis must reconcile conflicting signals (e.g., a patient with well-controlled HbA1c but frequent ED visits for hypoglycemia, or a patient with low clinical complexity but high social risk). Unlike pure adjudication (which applies rules to individual cases), risk stratification requires population-level pattern recognition and threshold calibration to ensure the stratification model produces actionable tier distributions that match available care management resources.</w:t>
            </w:r>
          </w:p>
        </w:tc>
        <w:tc>
          <w:tcPr>
            <w:tcW w:type="dxa" w:w="2736"/>
          </w:tcPr>
          <w:p>
            <w:r>
              <w:rPr>
                <w:rFonts w:ascii="Arial" w:hAnsi="Arial"/>
                <w:sz w:val="17"/>
              </w:rPr>
              <w:t>Patient risk stratification report assigning risk tiers (low/rising/moderate/high) based on clinical, utilization, and social determinant factors, with recommended care management interventions and care team assignments for high-risk patients.</w:t>
            </w:r>
          </w:p>
        </w:tc>
        <w:tc>
          <w:tcPr>
            <w:tcW w:type="dxa" w:w="3600"/>
          </w:tcPr>
          <w:p>
            <w:r>
              <w:rPr>
                <w:rFonts w:ascii="Arial" w:hAnsi="Arial"/>
                <w:sz w:val="17"/>
              </w:rPr>
              <w:t>Include at least one conflicting signal (e.g., good lab control but high utilization, or low clinical complexity but high social risk) so the correct tier requires synthesis rather than a single threshold lookup.</w:t>
            </w:r>
          </w:p>
        </w:tc>
        <w:tc>
          <w:tcPr>
            <w:tcW w:type="dxa" w:w="2880"/>
          </w:tcPr>
          <w:p>
            <w:r>
              <w:rPr>
                <w:rFonts w:ascii="Arial" w:hAnsi="Arial"/>
                <w:sz w:val="17"/>
              </w:rPr>
              <w:t>AHRQ Quality Indicators: https://qualityindicators.ahrq.gov/ | CMS HCC Risk Adjustment models: https://www.cms.gov/medicare/payment/medicare-advantage-rates-statistics/risk-adjustment</w:t>
            </w:r>
          </w:p>
        </w:tc>
      </w:tr>
      <w:tr>
        <w:tc>
          <w:tcPr>
            <w:tcW w:type="dxa" w:w="792"/>
          </w:tcPr>
          <w:p>
            <w:r>
              <w:rPr>
                <w:rFonts w:ascii="Arial" w:hAnsi="Arial"/>
                <w:b/>
                <w:sz w:val="17"/>
              </w:rPr>
              <w:t>P0</w:t>
            </w:r>
          </w:p>
        </w:tc>
        <w:tc>
          <w:tcPr>
            <w:tcW w:type="dxa" w:w="2016"/>
          </w:tcPr>
          <w:p>
            <w:r>
              <w:rPr>
                <w:rFonts w:ascii="Arial" w:hAnsi="Arial"/>
                <w:sz w:val="17"/>
              </w:rPr>
              <w:t>Post-Acute Care Coordination Documentation</w:t>
            </w:r>
          </w:p>
        </w:tc>
        <w:tc>
          <w:tcPr>
            <w:tcW w:type="dxa" w:w="3600"/>
          </w:tcPr>
          <w:p>
            <w:r>
              <w:rPr>
                <w:rFonts w:ascii="Arial" w:hAnsi="Arial"/>
                <w:sz w:val="17"/>
              </w:rPr>
              <w:t>Post-acute care coordination documentation requires orchestrating multiple parallel and sequential activities across the patient's entire post-acute stay: intake processing and clinical information reconciliation from the transferring hospital, initial comprehensive assessment (MDS for SNF, OASIS for home health), interdisciplinary care plan development with input from nursing, therapy, medical, dietary, social work, and pharmacy, ongoing utilization review and insurance authorization management, daily/weekly progress documentation updates, interdisciplinary team meetings with documentation of plan revisions, communication with the patient's primary care physician and specialists, family/caregiver education and coordination, discharge planning from the post-acute setting including home safety evaluation and community resource arrangement, and final transfer/discharge documentation assembly. The workflow spans multiple systems (post-acute EHR, hospital EHR access, insurance portals, pharmacy systems, community resource databases) and requires real-time adaptation as patient clinical status, therapy progress, insurance coverage, and discharge readiness evolve.</w:t>
            </w:r>
          </w:p>
        </w:tc>
        <w:tc>
          <w:tcPr>
            <w:tcW w:type="dxa" w:w="2736"/>
          </w:tcPr>
          <w:p>
            <w:r>
              <w:rPr>
                <w:rFonts w:ascii="Arial" w:hAnsi="Arial"/>
                <w:sz w:val="17"/>
              </w:rPr>
              <w:t>Post-acute care coordination documentation including care transition summary, functional status updates, therapy progress notes, medication reconciliation, insurance authorization renewals, and communication logs between acute, post-acute, and outpatient care teams.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P0</w:t>
            </w:r>
          </w:p>
        </w:tc>
        <w:tc>
          <w:tcPr>
            <w:tcW w:type="dxa" w:w="2016"/>
          </w:tcPr>
          <w:p>
            <w:r>
              <w:rPr>
                <w:rFonts w:ascii="Arial" w:hAnsi="Arial"/>
                <w:sz w:val="17"/>
              </w:rPr>
              <w:t>Treatment Plan Documentation for Chronic Disease Management</w:t>
            </w:r>
          </w:p>
        </w:tc>
        <w:tc>
          <w:tcPr>
            <w:tcW w:type="dxa" w:w="3600"/>
          </w:tcPr>
          <w:p>
            <w:r>
              <w:rPr>
                <w:rFonts w:ascii="Arial" w:hAnsi="Arial"/>
                <w:sz w:val="17"/>
              </w:rPr>
              <w:t>The clinician must orchestrate multiple data streams (encounter assessment, recent labs, imaging, pharmacy records, specialist notes, patient self- reports, SDOH screening) into a unified treatment plan that addresses each active chronic condition. The treatment plan requires cross-referencing medication lists for interactions and contraindications across conditions, reconciling potentially conflicting guideline recommendations (e.g., beta-blocker for heart failure vs. beta-agonist for COPD), setting individualized goals calibrated to disease severity and patient capacity, coordinating referrals and follow-up across multiple specialists, and documenting the plan in a structured EHR format that supports care continuity, quality reporting, and billing. Monthly or quarterly plan revisions require synthesizing interval changes (new lab results, ED visits, hospitalizations, medication changes, patient-reported symptom trajectories) and updating goals and interventions accordingly. The workflow spans clinical reasoning, patient communication, care team coordination, and regulatory documentation compliance.</w:t>
            </w:r>
          </w:p>
        </w:tc>
        <w:tc>
          <w:tcPr>
            <w:tcW w:type="dxa" w:w="2736"/>
          </w:tcPr>
          <w:p>
            <w:r>
              <w:rPr>
                <w:rFonts w:ascii="Arial" w:hAnsi="Arial"/>
                <w:sz w:val="17"/>
              </w:rPr>
              <w:t>Updated chronic disease treatment plan documenting current disease status, medication adjustments, lifestyle modification recommendations, measurable clinical targets (e.g., A1c &lt;7%, BP &lt;130/80), patient education provided, and next follow-up interval with planned monitoring.</w:t>
            </w:r>
          </w:p>
        </w:tc>
        <w:tc>
          <w:tcPr>
            <w:tcW w:type="dxa" w:w="3600"/>
          </w:tcPr>
          <w:p>
            <w:r>
              <w:rPr>
                <w:rFonts w:ascii="Arial" w:hAnsi="Arial"/>
                <w:sz w:val="17"/>
              </w:rPr>
              <w:t>Add a guideline conflict between two conditions (e.g., a medication indicated for one chronic condition but relatively contraindicated for another the same patient has) so the agent must reconcile competing recommendations.</w:t>
            </w:r>
          </w:p>
        </w:tc>
        <w:tc>
          <w:tcPr>
            <w:tcW w:type="dxa" w:w="2880"/>
          </w:tcPr>
          <w:p>
            <w:r>
              <w:rPr>
                <w:rFonts w:ascii="Arial" w:hAnsi="Arial"/>
                <w:sz w:val="17"/>
              </w:rPr>
              <w:t>CDC chronic disease guidelines hub: https://www.cdc.gov/chronicdisease/ | Specialty society guideline pages (e.g., ACC/AHA, ADA) as relevant to the specific condition pair</w:t>
            </w:r>
          </w:p>
        </w:tc>
      </w:tr>
      <w:tr>
        <w:tc>
          <w:tcPr>
            <w:tcW w:type="dxa" w:w="792"/>
          </w:tcPr>
          <w:p>
            <w:r>
              <w:rPr>
                <w:rFonts w:ascii="Arial" w:hAnsi="Arial"/>
                <w:b/>
                <w:sz w:val="17"/>
              </w:rPr>
              <w:t>P0</w:t>
            </w:r>
          </w:p>
        </w:tc>
        <w:tc>
          <w:tcPr>
            <w:tcW w:type="dxa" w:w="2016"/>
          </w:tcPr>
          <w:p>
            <w:r>
              <w:rPr>
                <w:rFonts w:ascii="Arial" w:hAnsi="Arial"/>
                <w:sz w:val="17"/>
              </w:rPr>
              <w:t>Ambulatory/Professional Fee Coding (E&amp;M and CPT)</w:t>
            </w:r>
          </w:p>
        </w:tc>
        <w:tc>
          <w:tcPr>
            <w:tcW w:type="dxa" w:w="3600"/>
          </w:tcPr>
          <w:p>
            <w:r>
              <w:rPr>
                <w:rFonts w:ascii="Arial" w:hAnsi="Arial"/>
                <w:sz w:val="17"/>
              </w:rPr>
              <w:t>The coder must adjudicate between multiple possible code assignments by interpreting clinical documentation against coding guidelines, AMA MDM tables, NCCI edits, and payer-specific rules. Requires judgment calls on E&amp;M level selection (MDM vs. time-based), modifier applicability (25, 59, XE/XP/XS/XU), medical necessity linkage between diagnosis and procedure codes, and whether documentation supports the level of service billed. Not purely mechanical, coders regularly encounter ambiguous documentation requiring clinical interpretation and compliant provider queries.</w:t>
            </w:r>
          </w:p>
        </w:tc>
        <w:tc>
          <w:tcPr>
            <w:tcW w:type="dxa" w:w="2736"/>
          </w:tcPr>
          <w:p>
            <w:r>
              <w:rPr>
                <w:rFonts w:ascii="Arial" w:hAnsi="Arial"/>
                <w:sz w:val="17"/>
              </w:rPr>
              <w:t>Final coded encounter/charge entry record in the practice management or billing system (CPT/HCPCS, ICD-10, modifiers/units) ready for claim generation.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CDI Query Response Tracking and Follow-up Management</w:t>
            </w:r>
          </w:p>
        </w:tc>
        <w:tc>
          <w:tcPr>
            <w:tcW w:type="dxa" w:w="3600"/>
          </w:tcPr>
          <w:p>
            <w:r>
              <w:rPr>
                <w:rFonts w:ascii="Arial" w:hAnsi="Arial"/>
                <w:sz w:val="17"/>
              </w:rPr>
              <w:t>This workflow is primarily orchestration rather than adjudication. The CDI specialist or manager must coordinate multiple concurrent query threads across a caseload of patients, managing time-based escalation triggers, routing follow-up actions to appropriate parties (verbal reminder, electronic re-notification, physician advisor referral, department chair notification), generating aggregate tracking reports, and ensuring no queries fall through the cracks before patient discharge. The complexity lies in managing the parallel tracking of dozens of open queries with different aging timelines, priority levels, and escalation statuses rather than making individual clinical judgments.</w:t>
            </w:r>
          </w:p>
        </w:tc>
        <w:tc>
          <w:tcPr>
            <w:tcW w:type="dxa" w:w="2736"/>
          </w:tcPr>
          <w:p>
            <w:r>
              <w:rPr>
                <w:rFonts w:ascii="Arial" w:hAnsi="Arial"/>
                <w:sz w:val="17"/>
              </w:rPr>
              <w:t>Query response tracking dashboard with physician-level response rates, aging query worklist, escalation status, and impact analysis showing DRG and reimbursement effect of resolved queries.</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P0</w:t>
            </w:r>
          </w:p>
        </w:tc>
        <w:tc>
          <w:tcPr>
            <w:tcW w:type="dxa" w:w="2016"/>
          </w:tcPr>
          <w:p>
            <w:r>
              <w:rPr>
                <w:rFonts w:ascii="Arial" w:hAnsi="Arial"/>
                <w:sz w:val="17"/>
              </w:rPr>
              <w:t>Charge Capture and Reconciliation</w:t>
            </w:r>
          </w:p>
        </w:tc>
        <w:tc>
          <w:tcPr>
            <w:tcW w:type="dxa" w:w="3600"/>
          </w:tcPr>
          <w:p>
            <w:r>
              <w:rPr>
                <w:rFonts w:ascii="Arial" w:hAnsi="Arial"/>
                <w:sz w:val="17"/>
              </w:rPr>
              <w:t>Requires coordinating data from multiple clinical and financial systems, EHR encounter records, operating room logs, pharmacy dispensing systems, radiology information systems, laboratory information systems, supply chain/implant tracking, and the hospital chargemaster, to ensure all billable services are captured and correctly coded. The reconciliation process involves cross-referencing appointment schedules against charge postings, identifying discrepancies, investigating root causes with clinical departments, and resolving exceptions before claims submission. This multi-system orchestration distinguishes it from single-source adjudication tasks.</w:t>
            </w:r>
          </w:p>
        </w:tc>
        <w:tc>
          <w:tcPr>
            <w:tcW w:type="dxa" w:w="2736"/>
          </w:tcPr>
          <w:p>
            <w:r>
              <w:rPr>
                <w:rFonts w:ascii="Arial" w:hAnsi="Arial"/>
                <w:sz w:val="17"/>
              </w:rPr>
              <w:t>Reconciled charges/charge file ready for claim generation and submission.</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P0</w:t>
            </w:r>
          </w:p>
        </w:tc>
        <w:tc>
          <w:tcPr>
            <w:tcW w:type="dxa" w:w="2016"/>
          </w:tcPr>
          <w:p>
            <w:r>
              <w:rPr>
                <w:rFonts w:ascii="Arial" w:hAnsi="Arial"/>
                <w:sz w:val="17"/>
              </w:rPr>
              <w:t>Claim Denial Appeal Documentation</w:t>
            </w:r>
          </w:p>
        </w:tc>
        <w:tc>
          <w:tcPr>
            <w:tcW w:type="dxa" w:w="3600"/>
          </w:tcPr>
          <w:p>
            <w:r>
              <w:rPr>
                <w:rFonts w:ascii="Arial" w:hAnsi="Arial"/>
                <w:sz w:val="17"/>
              </w:rPr>
              <w:t>Requires synthesizing clinical documentation, coding data, payer policy language, and regulatory standards into a cohesive, persuasive appeal narrative that maps patient-specific clinical evidence to medical necessity criteria and contractual coverage provisions</w:t>
            </w:r>
          </w:p>
        </w:tc>
        <w:tc>
          <w:tcPr>
            <w:tcW w:type="dxa" w:w="2736"/>
          </w:tcPr>
          <w:p>
            <w:r>
              <w:rPr>
                <w:rFonts w:ascii="Arial" w:hAnsi="Arial"/>
                <w:sz w:val="17"/>
              </w:rPr>
              <w:t>Denial root-cause analysis and/or appeal packet prepared/submitted with documentation and tracking log.</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P0</w:t>
            </w:r>
          </w:p>
        </w:tc>
        <w:tc>
          <w:tcPr>
            <w:tcW w:type="dxa" w:w="2016"/>
          </w:tcPr>
          <w:p>
            <w:r>
              <w:rPr>
                <w:rFonts w:ascii="Arial" w:hAnsi="Arial"/>
                <w:sz w:val="17"/>
              </w:rPr>
              <w:t>Clinical Documentation Improvement (CDI) Query Review</w:t>
            </w:r>
          </w:p>
        </w:tc>
        <w:tc>
          <w:tcPr>
            <w:tcW w:type="dxa" w:w="3600"/>
          </w:tcPr>
          <w:p>
            <w:r>
              <w:rPr>
                <w:rFonts w:ascii="Arial" w:hAnsi="Arial"/>
                <w:sz w:val="17"/>
              </w:rPr>
              <w:t>Each chart review requires the CDI specialist to adjudicate whether the physician's clinical documentation accurately reflects the patient's severity of illness and resource utilization; the specialist must identify documentation gaps by cross-referencing clinical indicators (lab values, vitals, medications, procedures) against documented diagnoses, determine whether a compliant query is warranted, craft a non-leading query with appropriate clinical indicators, and evaluate the physician's response for clinical validity and coding impact</w:t>
            </w:r>
          </w:p>
        </w:tc>
        <w:tc>
          <w:tcPr>
            <w:tcW w:type="dxa" w:w="2736"/>
          </w:tcPr>
          <w:p>
            <w:r>
              <w:rPr>
                <w:rFonts w:ascii="Arial" w:hAnsi="Arial"/>
                <w:sz w:val="17"/>
              </w:rPr>
              <w:t>Quality-reviewed CDI query assessment confirming clinical validity, appropriate query type classification, compliant non-leading language, and documentation supporting the clinical indicator for the queried condition.</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P0</w:t>
            </w:r>
          </w:p>
        </w:tc>
        <w:tc>
          <w:tcPr>
            <w:tcW w:type="dxa" w:w="2016"/>
          </w:tcPr>
          <w:p>
            <w:r>
              <w:rPr>
                <w:rFonts w:ascii="Arial" w:hAnsi="Arial"/>
                <w:sz w:val="17"/>
              </w:rPr>
              <w:t>Concurrent Inpatient Chart Review with Working DRG Assignment</w:t>
            </w:r>
          </w:p>
        </w:tc>
        <w:tc>
          <w:tcPr>
            <w:tcW w:type="dxa" w:w="3600"/>
          </w:tcPr>
          <w:p>
            <w:r>
              <w:rPr>
                <w:rFonts w:ascii="Arial" w:hAnsi="Arial"/>
                <w:sz w:val="17"/>
              </w:rPr>
              <w:t>The CDI specialist must adjudicate between competing clinical evidence, reconcile documentation from multiple providers (attending, consulting, surgical), determine whether documented conditions meet clinical criteria and coding guidelines, and decide whether to query physicians for clarification versus accepting documentation as-is. Requires clinical judgment on severity of illness and risk of mortality implications.</w:t>
            </w:r>
          </w:p>
        </w:tc>
        <w:tc>
          <w:tcPr>
            <w:tcW w:type="dxa" w:w="2736"/>
          </w:tcPr>
          <w:p>
            <w:r>
              <w:rPr>
                <w:rFonts w:ascii="Arial" w:hAnsi="Arial"/>
                <w:sz w:val="17"/>
              </w:rPr>
              <w:t>Concurrent review summary with working DRG/CC-MCC impact notes and CDI queries logged (if needed).</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Discharge Planning Documentation</w:t>
            </w:r>
          </w:p>
        </w:tc>
        <w:tc>
          <w:tcPr>
            <w:tcW w:type="dxa" w:w="3600"/>
          </w:tcPr>
          <w:p>
            <w:r>
              <w:rPr>
                <w:rFonts w:ascii="Arial" w:hAnsi="Arial"/>
                <w:sz w:val="17"/>
              </w:rPr>
              <w:t>Discharge planning documentation requires orchestrating multiple parallel and sequential activities across an interdisciplinary care team over the duration of a hospital stay: initial screening and risk stratification at admission, ongoing assessment of discharge needs as the clinical picture evolves, coordination with multiple specialty services and ancillary departments, insurance authorization for post-acute services, patient and family education and preference assessment, identification and evaluation of post-acute care facilities, arrangement of home health services and durable medical equipment, medication reconciliation coordination, and assembly of the complete discharge planning documentation package. The workflow spans multiple systems (EHR care management module, insurance portals, post-acute referral platforms, fax/phone communication) and requires real-time adaptation as patient clinical status, insurance approvals, and bed availability change.</w:t>
            </w:r>
          </w:p>
        </w:tc>
        <w:tc>
          <w:tcPr>
            <w:tcW w:type="dxa" w:w="2736"/>
          </w:tcPr>
          <w:p>
            <w:r>
              <w:rPr>
                <w:rFonts w:ascii="Arial" w:hAnsi="Arial"/>
                <w:sz w:val="17"/>
              </w:rPr>
              <w:t>Completed discharge plan documenting patient disposition, post-acute care referrals with confirmed acceptance, medication reconciliation, follow-up appointments scheduled, DME orders, patient/caregiver education completed, and payer authorization for post-acute services.</w:t>
            </w:r>
          </w:p>
        </w:tc>
        <w:tc>
          <w:tcPr>
            <w:tcW w:type="dxa" w:w="3600"/>
          </w:tcPr>
          <w:p>
            <w:r>
              <w:rPr>
                <w:rFonts w:ascii="Arial" w:hAnsi="Arial"/>
                <w:sz w:val="17"/>
              </w:rPr>
              <w:t>Add a discrepancy between the discharge medication list and what was actually administered during the stay, requiring the agent to identify and resolve an unintentional change.</w:t>
            </w:r>
          </w:p>
        </w:tc>
        <w:tc>
          <w:tcPr>
            <w:tcW w:type="dxa" w:w="2880"/>
          </w:tcPr>
          <w:p>
            <w:r>
              <w:rPr>
                <w:rFonts w:ascii="Arial" w:hAnsi="Arial"/>
                <w:sz w:val="17"/>
              </w:rPr>
              <w:t>AHRQ Care Transitions resources: https://www.ahrq.gov/patient-safety/settings/hospital/red/index.html | CMS Discharge Planning CoPs: https://www.cms.gov/medicare/health-safety-standards/quality-safety-oversight-certification-compliance</w:t>
            </w:r>
          </w:p>
        </w:tc>
      </w:tr>
      <w:tr>
        <w:tc>
          <w:tcPr>
            <w:tcW w:type="dxa" w:w="792"/>
          </w:tcPr>
          <w:p>
            <w:r>
              <w:rPr>
                <w:rFonts w:ascii="Arial" w:hAnsi="Arial"/>
                <w:b/>
                <w:sz w:val="17"/>
              </w:rPr>
              <w:t>P0</w:t>
            </w:r>
          </w:p>
        </w:tc>
        <w:tc>
          <w:tcPr>
            <w:tcW w:type="dxa" w:w="2016"/>
          </w:tcPr>
          <w:p>
            <w:r>
              <w:rPr>
                <w:rFonts w:ascii="Arial" w:hAnsi="Arial"/>
                <w:sz w:val="17"/>
              </w:rPr>
              <w:t>HEDIS Medical Record Chart Abstraction and Review</w:t>
            </w:r>
          </w:p>
        </w:tc>
        <w:tc>
          <w:tcPr>
            <w:tcW w:type="dxa" w:w="3600"/>
          </w:tcPr>
          <w:p>
            <w:r>
              <w:rPr>
                <w:rFonts w:ascii="Arial" w:hAnsi="Arial"/>
                <w:sz w:val="17"/>
              </w:rPr>
              <w:t>Primarily rule-based execution against NCQA technical specifications. Abstractors apply defined criteria to determine numerator compliance, with limited judgment required for ambiguous documentation. Quality assurance layer adds adjudication for discrepant findings.</w:t>
            </w:r>
          </w:p>
        </w:tc>
        <w:tc>
          <w:tcPr>
            <w:tcW w:type="dxa" w:w="2736"/>
          </w:tcPr>
          <w:p>
            <w:r>
              <w:rPr>
                <w:rFonts w:ascii="Arial" w:hAnsi="Arial"/>
                <w:sz w:val="17"/>
              </w:rPr>
              <w:t>Completed abstraction worksheet per HEDIS measure with documented evidence of compliance (dates of service, results, values), abstraction quality notes, and overread/audit trail documentation.</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P0</w:t>
            </w:r>
          </w:p>
        </w:tc>
        <w:tc>
          <w:tcPr>
            <w:tcW w:type="dxa" w:w="2016"/>
          </w:tcPr>
          <w:p>
            <w:r>
              <w:rPr>
                <w:rFonts w:ascii="Arial" w:hAnsi="Arial"/>
                <w:sz w:val="17"/>
              </w:rPr>
              <w:t>ICD-10-CM/PCS Diagnosis and Procedure Coding</w:t>
            </w:r>
          </w:p>
        </w:tc>
        <w:tc>
          <w:tcPr>
            <w:tcW w:type="dxa" w:w="3600"/>
          </w:tcPr>
          <w:p>
            <w:r>
              <w:rPr>
                <w:rFonts w:ascii="Arial" w:hAnsi="Arial"/>
                <w:sz w:val="17"/>
              </w:rPr>
              <w:t>The coder must adjudicate between multiple possible code assignments by interpreting clinical documentation against ICD-10-CM Official Guidelines, ICD-10-PCS root operation definitions, AHA Coding Clinic advisories, and MS-DRG optimization rules. For procedure coding, the coder constructs seven-character ICD-10-PCS codes by determining the correct section, body system, root operation, body part, approach, device, and qualifier from operative reports that use varied surgical terminology. Requires judgment on principal diagnosis sequencing, CC/MCC capture, present on admission (POA) indicator assignment, and whether documentation supports querying the physician for clarification.</w:t>
            </w:r>
          </w:p>
        </w:tc>
        <w:tc>
          <w:tcPr>
            <w:tcW w:type="dxa" w:w="2736"/>
          </w:tcPr>
          <w:p>
            <w:r>
              <w:rPr>
                <w:rFonts w:ascii="Arial" w:hAnsi="Arial"/>
                <w:sz w:val="17"/>
              </w:rPr>
              <w:t>Final ICD-10-CM/PCS diagnosis and procedure codes recorded in the coding/billing system.</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Medical Transcription and Clinical Documentation Completion</w:t>
            </w:r>
          </w:p>
        </w:tc>
        <w:tc>
          <w:tcPr>
            <w:tcW w:type="dxa" w:w="3600"/>
          </w:tcPr>
          <w:p>
            <w:r>
              <w:rPr>
                <w:rFonts w:ascii="Arial" w:hAnsi="Arial"/>
                <w:sz w:val="17"/>
              </w:rPr>
              <w:t>Clinical documentation completion requires synthesizing raw audio or dictated speech into structured clinical notes that conform to specialty-specific templates, documentation standards (SOAP, H&amp;P, procedure note formats), and coding requirements. The system must disambiguate medical homophones (e.g., ileum vs. ilium), resolve speaker diarization in multi-party encounters, map clinical concepts to appropriate note sections, infer structured data elements (medications, dosages, diagnoses) from unstructured conversation, and produce notes that align with the clinician's documentation style and specialty conventions. Beyond mechanical transcription, the synthesis involves contextualizing clinical conversation against patient history, lab results, and medication lists from the EHR to produce a coherent clinical narrative.</w:t>
            </w:r>
          </w:p>
        </w:tc>
        <w:tc>
          <w:tcPr>
            <w:tcW w:type="dxa" w:w="2736"/>
          </w:tcPr>
          <w:p>
            <w:r>
              <w:rPr>
                <w:rFonts w:ascii="Arial" w:hAnsi="Arial"/>
                <w:sz w:val="17"/>
              </w:rPr>
              <w:t>Draft clinical note/transcript for clinician review, edits, and attestation in the EHR.</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Outpatient/Professional Fee Coding (E&amp;M and CPT)</w:t>
            </w:r>
          </w:p>
        </w:tc>
        <w:tc>
          <w:tcPr>
            <w:tcW w:type="dxa" w:w="3600"/>
          </w:tcPr>
          <w:p>
            <w:r>
              <w:rPr>
                <w:rFonts w:ascii="Arial" w:hAnsi="Arial"/>
                <w:sz w:val="17"/>
              </w:rPr>
              <w:t>The coder must adjudicate between multiple possible code assignments by interpreting clinical documentation against coding guidelines, medical decision making tables, NCCI edits, and payer-specific rules. Requires judgment calls on E&amp;M level selection (MDM vs. time-based), modifier applicability (25, 59, XE/XP/XS/XU), medical necessity linkage, and whether documentation supports the level of service billed. Not purely mechanical, coders regularly encounter ambiguous documentation requiring clinical interpretation and provider queries.</w:t>
            </w:r>
          </w:p>
        </w:tc>
        <w:tc>
          <w:tcPr>
            <w:tcW w:type="dxa" w:w="2736"/>
          </w:tcPr>
          <w:p>
            <w:r>
              <w:rPr>
                <w:rFonts w:ascii="Arial" w:hAnsi="Arial"/>
                <w:sz w:val="17"/>
              </w:rPr>
              <w:t>Final coded encounter/charge entry record in the practice management or billing system (CPT/HCPCS, ICD-10, modifiers/units) ready for claim generation.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P0</w:t>
            </w:r>
          </w:p>
        </w:tc>
        <w:tc>
          <w:tcPr>
            <w:tcW w:type="dxa" w:w="2016"/>
          </w:tcPr>
          <w:p>
            <w:r>
              <w:rPr>
                <w:rFonts w:ascii="Arial" w:hAnsi="Arial"/>
                <w:sz w:val="17"/>
              </w:rPr>
              <w:t>Pharmacy Insurance Claim Rejection Resolution</w:t>
            </w:r>
          </w:p>
        </w:tc>
        <w:tc>
          <w:tcPr>
            <w:tcW w:type="dxa" w:w="3600"/>
          </w:tcPr>
          <w:p>
            <w:r>
              <w:rPr>
                <w:rFonts w:ascii="Arial" w:hAnsi="Arial"/>
                <w:sz w:val="17"/>
              </w:rPr>
              <w:t>Requires real-time orchestration across pharmacy management system, PBM adjudication responses, prescriber communication, payer help desks, and electronic prior authorization platforms. The technician must interpret reject codes, determine the appropriate resolution path (data correction, therapeutic alternative, prior authorization, override request, or plan change), execute the fix, and resubmit, often within minutes while the patient waits. Multiple rejections on a single claim require sequential troubleshooting.</w:t>
            </w:r>
          </w:p>
        </w:tc>
        <w:tc>
          <w:tcPr>
            <w:tcW w:type="dxa" w:w="2736"/>
          </w:tcPr>
          <w:p>
            <w:r>
              <w:rPr>
                <w:rFonts w:ascii="Arial" w:hAnsi="Arial"/>
                <w:sz w:val="17"/>
              </w:rPr>
              <w:t>Resolved pharmacy claim with documented rejection reason (NCPDP reject code), corrective action taken (e.g., DUR override, PA obtained, plan change applied, therapeutic alternative), and successful adjudication confirmation or escalation to prescriber.</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P0</w:t>
            </w:r>
          </w:p>
        </w:tc>
        <w:tc>
          <w:tcPr>
            <w:tcW w:type="dxa" w:w="2016"/>
          </w:tcPr>
          <w:p>
            <w:r>
              <w:rPr>
                <w:rFonts w:ascii="Arial" w:hAnsi="Arial"/>
                <w:sz w:val="17"/>
              </w:rPr>
              <w:t>Pharmacy Prior Authorization Request Preparation and Submission</w:t>
            </w:r>
          </w:p>
        </w:tc>
        <w:tc>
          <w:tcPr>
            <w:tcW w:type="dxa" w:w="3600"/>
          </w:tcPr>
          <w:p>
            <w:r>
              <w:rPr>
                <w:rFonts w:ascii="Arial" w:hAnsi="Arial"/>
                <w:sz w:val="17"/>
              </w:rPr>
              <w:t>The specialist must orchestrate information across multiple systems and stakeholders: receiving the PA trigger from the pharmacy (claim rejection at POS or retrospective review), querying the EHR or prescriber for clinical documentation, checking PBM formulary and coverage criteria, determining the specific PA requirements (step therapy, quantity limit exception, non-formulary exception, or clinical PA), gathering supporting clinical evidence (diagnosis, lab results, prior medication trials with dates and outcomes), completing the payer-specific or CoverMyMeds PA form, and submitting via ePA, fax, or payer portal. For specialty medications, complexity increases with requirements for clinical lab values, prior biologic trials, and specialist attestation.</w:t>
            </w:r>
          </w:p>
        </w:tc>
        <w:tc>
          <w:tcPr>
            <w:tcW w:type="dxa" w:w="2736"/>
          </w:tcPr>
          <w:p>
            <w:r>
              <w:rPr>
                <w:rFonts w:ascii="Arial" w:hAnsi="Arial"/>
                <w:sz w:val="17"/>
              </w:rPr>
              <w:t>Completed prior authorization request submitted to PBM/payer with clinical justification, supporting documentation (diagnosis, failed therapies, lab results), and tracking confirmation number for follow-up on approval status.</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P0</w:t>
            </w:r>
          </w:p>
        </w:tc>
        <w:tc>
          <w:tcPr>
            <w:tcW w:type="dxa" w:w="2016"/>
          </w:tcPr>
          <w:p>
            <w:r>
              <w:rPr>
                <w:rFonts w:ascii="Arial" w:hAnsi="Arial"/>
                <w:sz w:val="17"/>
              </w:rPr>
              <w:t>Specialty Pharmacy Patient Enrollment and Benefits Investigation</w:t>
            </w:r>
          </w:p>
        </w:tc>
        <w:tc>
          <w:tcPr>
            <w:tcW w:type="dxa" w:w="3600"/>
          </w:tcPr>
          <w:p>
            <w:r>
              <w:rPr>
                <w:rFonts w:ascii="Arial" w:hAnsi="Arial"/>
                <w:sz w:val="17"/>
              </w:rPr>
              <w:t>The coordinator must orchestrate information and actions across multiple systems and stakeholders: receiving the referral or e-prescription from the prescriber, verifying patient demographics and insurance information, determining whether the medication is covered under the medical benefit (J-code) or pharmacy benefit (NDC), contacting payers to verify eligibility and coverage, identifying prior authorization and step therapy requirements, initiating PA requests, enrolling patients in manufacturer hub programs and copay/PAP assistance, coordinating with prescriber offices for clinical documentation, and communicating coverage and cost information back to the patient. The workflow requires simultaneous navigation of 4-6 different systems per case with multi-party coordination between patient, prescriber, payer, and manufacturer.</w:t>
            </w:r>
          </w:p>
        </w:tc>
        <w:tc>
          <w:tcPr>
            <w:tcW w:type="dxa" w:w="2736"/>
          </w:tcPr>
          <w:p>
            <w:r>
              <w:rPr>
                <w:rFonts w:ascii="Arial" w:hAnsi="Arial"/>
                <w:sz w:val="17"/>
              </w:rPr>
              <w:t>Completed specialty pharmacy enrollment with verified insurance benefits, copay/coinsurance estimates, identified financial assistance programs (manufacturer copay cards, PAP), prior authorization status, and patient consent and clinical documentation on file.</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Accounts Receivable Follow-up and Collections</w:t>
            </w:r>
          </w:p>
        </w:tc>
        <w:tc>
          <w:tcPr>
            <w:tcW w:type="dxa" w:w="3600"/>
          </w:tcPr>
          <w:p>
            <w:r>
              <w:rPr>
                <w:rFonts w:ascii="Arial" w:hAnsi="Arial"/>
                <w:sz w:val="17"/>
              </w:rPr>
              <w:t>Requires coordinating across multiple payer portals, billing systems, patient records, and communication channels to resolve unpaid balances. Each account requires sequencing status checks, identifying root causes of non-payment, initiating corrective actions, and routing to appropriate escalation paths (rebill, appeal, payment plan, or write-off)</w:t>
            </w:r>
          </w:p>
        </w:tc>
        <w:tc>
          <w:tcPr>
            <w:tcW w:type="dxa" w:w="2736"/>
          </w:tcPr>
          <w:p>
            <w:r>
              <w:rPr>
                <w:rFonts w:ascii="Arial" w:hAnsi="Arial"/>
                <w:sz w:val="17"/>
              </w:rPr>
              <w:t>Updated accounts receivable aging report with documented follow-up actions per claim, including payer contact outcomes, appeal submissions, payment posting confirmations, and escalation flags for accounts exceeding target days in AR.</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P1</w:t>
            </w:r>
          </w:p>
        </w:tc>
        <w:tc>
          <w:tcPr>
            <w:tcW w:type="dxa" w:w="2016"/>
          </w:tcPr>
          <w:p>
            <w:r>
              <w:rPr>
                <w:rFonts w:ascii="Arial" w:hAnsi="Arial"/>
                <w:sz w:val="17"/>
              </w:rPr>
              <w:t>Care Coordination Referral Tracking and Closure</w:t>
            </w:r>
          </w:p>
        </w:tc>
        <w:tc>
          <w:tcPr>
            <w:tcW w:type="dxa" w:w="3600"/>
          </w:tcPr>
          <w:p>
            <w:r>
              <w:rPr>
                <w:rFonts w:ascii="Arial" w:hAnsi="Arial"/>
                <w:sz w:val="17"/>
              </w:rPr>
              <w:t>Requires orchestrating information across multiple systems (EHR, referral platforms, payer portals, fax/phone), coordinating between referring providers, specialists, and patients, and managing multi-step follow-up sequences until closure is achieved.</w:t>
            </w:r>
          </w:p>
        </w:tc>
        <w:tc>
          <w:tcPr>
            <w:tcW w:type="dxa" w:w="2736"/>
          </w:tcPr>
          <w:p>
            <w:r>
              <w:rPr>
                <w:rFonts w:ascii="Arial" w:hAnsi="Arial"/>
                <w:sz w:val="17"/>
              </w:rPr>
              <w:t>Complete referral tracking log with documented closure status for each referral including specialist reports received, care plan updates, and patient notification of results.</w:t>
            </w:r>
          </w:p>
        </w:tc>
        <w:tc>
          <w:tcPr>
            <w:tcW w:type="dxa" w:w="3600"/>
          </w:tcPr>
          <w:p>
            <w:r>
              <w:rPr>
                <w:rFonts w:ascii="Arial" w:hAnsi="Arial"/>
                <w:sz w:val="17"/>
              </w:rPr>
              <w:t>Include a patient-reported need that conflicts with what's documented in the structured screening tool, so the agent must reconcile narrative and structured data.</w:t>
            </w:r>
          </w:p>
        </w:tc>
        <w:tc>
          <w:tcPr>
            <w:tcW w:type="dxa" w:w="2880"/>
          </w:tcPr>
          <w:p>
            <w:r>
              <w:rPr>
                <w:rFonts w:ascii="Arial" w:hAnsi="Arial"/>
                <w:sz w:val="17"/>
              </w:rPr>
              <w:t>CMS SDOH/Z-code resources: https://www.cms.gov/priorities/health-equity/resources/social-determinants-health | AHA Gravity Project SDOH coding: https://gravityproject.org/</w:t>
            </w:r>
          </w:p>
        </w:tc>
      </w:tr>
      <w:tr>
        <w:tc>
          <w:tcPr>
            <w:tcW w:type="dxa" w:w="792"/>
          </w:tcPr>
          <w:p>
            <w:r>
              <w:rPr>
                <w:rFonts w:ascii="Arial" w:hAnsi="Arial"/>
                <w:b/>
                <w:sz w:val="17"/>
              </w:rPr>
              <w:t>P1</w:t>
            </w:r>
          </w:p>
        </w:tc>
        <w:tc>
          <w:tcPr>
            <w:tcW w:type="dxa" w:w="2016"/>
          </w:tcPr>
          <w:p>
            <w:r>
              <w:rPr>
                <w:rFonts w:ascii="Arial" w:hAnsi="Arial"/>
                <w:sz w:val="17"/>
              </w:rPr>
              <w:t>CDI-Coding DRG Reconciliation Review</w:t>
            </w:r>
          </w:p>
        </w:tc>
        <w:tc>
          <w:tcPr>
            <w:tcW w:type="dxa" w:w="3600"/>
          </w:tcPr>
          <w:p>
            <w:r>
              <w:rPr>
                <w:rFonts w:ascii="Arial" w:hAnsi="Arial"/>
                <w:sz w:val="17"/>
              </w:rPr>
              <w:t>The DRG reconciliation reviewer must adjudicate between two competing DRG assignments: the CDI specialist's working DRG and the coder's final DRG. This requires evaluating which principal diagnosis selection is correct per ICD-10 Official Guidelines Section II, whether CC/MCC designations are properly supported by documentation, whether present-on-admission indicators are accurate, and whether coding guideline interpretations are correctly applied. When consensus cannot be reached, the reviewer may escalate to a physician advisor for clinical determination. This is classic adjudication between two expert opinions with documented rationale.</w:t>
            </w:r>
          </w:p>
        </w:tc>
        <w:tc>
          <w:tcPr>
            <w:tcW w:type="dxa" w:w="2736"/>
          </w:tcPr>
          <w:p>
            <w:r>
              <w:rPr>
                <w:rFonts w:ascii="Arial" w:hAnsi="Arial"/>
                <w:sz w:val="17"/>
              </w:rPr>
              <w:t>Reconciled DRG comparison worksheet documenting CDI-predicted vs. final-coded DRG with variance analysis, query impact tracking, and identified education opportunities.</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P1</w:t>
            </w:r>
          </w:p>
        </w:tc>
        <w:tc>
          <w:tcPr>
            <w:tcW w:type="dxa" w:w="2016"/>
          </w:tcPr>
          <w:p>
            <w:r>
              <w:rPr>
                <w:rFonts w:ascii="Arial" w:hAnsi="Arial"/>
                <w:sz w:val="17"/>
              </w:rPr>
              <w:t>CMS Star Ratings Quality Measure Preparation and Submission</w:t>
            </w:r>
          </w:p>
        </w:tc>
        <w:tc>
          <w:tcPr>
            <w:tcW w:type="dxa" w:w="3600"/>
          </w:tcPr>
          <w:p>
            <w:r>
              <w:rPr>
                <w:rFonts w:ascii="Arial" w:hAnsi="Arial"/>
                <w:sz w:val="17"/>
              </w:rPr>
              <w:t>The quality team must orchestrate data collection across multiple systems and data sources (claims warehouse, EHR, pharmacy benefit, immunization registries, survey vendors, supplemental data feeds), apply complex HEDIS measure logic with denominator/numerator specifications and exclusion criteria, manage medical record retrieval and hybrid measure abstraction, coordinate with CMS-approved CAHPS and HOS survey vendors, validate data against Patient-Level Detail (PLD) file requirements, reconcile discrepancies between summary-level and patient-level data, and submit finalized results through NCQA's Interactive Data Submission System (IDSS) and CMS's Health Plan Management System (HPMS). Requires judgment in applying measure specifications to edge cases, resolving data quality issues, and prioritizing improvement interventions across 45 measures to optimize overall Star Rating.</w:t>
            </w:r>
          </w:p>
        </w:tc>
        <w:tc>
          <w:tcPr>
            <w:tcW w:type="dxa" w:w="2736"/>
          </w:tcPr>
          <w:p>
            <w:r>
              <w:rPr>
                <w:rFonts w:ascii="Arial" w:hAnsi="Arial"/>
                <w:sz w:val="17"/>
              </w:rPr>
              <w:t>Validated HEDIS measure rates and Star Ratings data submission package with measure-level performance against CMS cut points, gap closure documentation, and improvement action plans for measures below 4-star thresholds.</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Corrective Action Plan (CAP) Development and Tracking</w:t>
            </w:r>
          </w:p>
        </w:tc>
        <w:tc>
          <w:tcPr>
            <w:tcW w:type="dxa" w:w="3600"/>
          </w:tcPr>
          <w:p>
            <w:r>
              <w:rPr>
                <w:rFonts w:ascii="Arial" w:hAnsi="Arial"/>
                <w:sz w:val="17"/>
              </w:rPr>
              <w:t>Requires synthesizing multiple inputs, survey findings, clinical policies, staff interviews, resident records, and regulatory requirements, into a cohesive corrective action plan that addresses root causes while satisfying the five required CMS elements for each cited deficiency.</w:t>
            </w:r>
          </w:p>
        </w:tc>
        <w:tc>
          <w:tcPr>
            <w:tcW w:type="dxa" w:w="2736"/>
          </w:tcPr>
          <w:p>
            <w:r>
              <w:rPr>
                <w:rFonts w:ascii="Arial" w:hAnsi="Arial"/>
                <w:sz w:val="17"/>
              </w:rPr>
              <w:t>Formal corrective action plan (Plan of Correction on CMS-2567) with five required elements: corrective actions for affected residents, systemic process changes, monitoring plan, completion dates, and responsible parties with ongoing compliance tracking documentation.</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P1</w:t>
            </w:r>
          </w:p>
        </w:tc>
        <w:tc>
          <w:tcPr>
            <w:tcW w:type="dxa" w:w="2016"/>
          </w:tcPr>
          <w:p>
            <w:r>
              <w:rPr>
                <w:rFonts w:ascii="Arial" w:hAnsi="Arial"/>
                <w:sz w:val="17"/>
              </w:rPr>
              <w:t>HEDIS Quality Measure Abstraction and Reporting</w:t>
            </w:r>
          </w:p>
        </w:tc>
        <w:tc>
          <w:tcPr>
            <w:tcW w:type="dxa" w:w="3600"/>
          </w:tcPr>
          <w:p>
            <w:r>
              <w:rPr>
                <w:rFonts w:ascii="Arial" w:hAnsi="Arial"/>
                <w:sz w:val="17"/>
              </w:rPr>
              <w:t>Primarily rule-based execution against detailed NCQA HEDIS technical specifications. Abstractors apply explicit criteria to medical records to determine numerator compliance. Limited judgment is required for ambiguous clinical documentation, but the specifications themselves are prescriptive. The overread and IRR processes add a layer of quality adjudication.</w:t>
            </w:r>
          </w:p>
        </w:tc>
        <w:tc>
          <w:tcPr>
            <w:tcW w:type="dxa" w:w="2736"/>
          </w:tcPr>
          <w:p>
            <w:r>
              <w:rPr>
                <w:rFonts w:ascii="Arial" w:hAnsi="Arial"/>
                <w:sz w:val="17"/>
              </w:rPr>
              <w:t>Abstracted data elements per HEDIS measure specifications, completed abstraction worksheets, measure-level compliance rates, audit-ready documentation supporting reported rates.</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HEDIS Quality Measure Reporting and Gap Analysis</w:t>
            </w:r>
          </w:p>
        </w:tc>
        <w:tc>
          <w:tcPr>
            <w:tcW w:type="dxa" w:w="3600"/>
          </w:tcPr>
          <w:p>
            <w:r>
              <w:rPr>
                <w:rFonts w:ascii="Arial" w:hAnsi="Arial"/>
                <w:sz w:val="17"/>
              </w:rPr>
              <w:t>Coordinates multiple data streams (claims, pharmacy, lab, EMR, supplemental data), manages chart chase logistics across hundreds of providers, sequences abstraction/analysis/reporting phases, and synthesizes performance across 90+ measures with regulatory deadlines</w:t>
            </w:r>
          </w:p>
        </w:tc>
        <w:tc>
          <w:tcPr>
            <w:tcW w:type="dxa" w:w="2736"/>
          </w:tcPr>
          <w:p>
            <w:r>
              <w:rPr>
                <w:rFonts w:ascii="Arial" w:hAnsi="Arial"/>
                <w:sz w:val="17"/>
              </w:rPr>
              <w:t>HEDIS measure performance reports with rates by measure and plan, gap-in-care lists for outreach, compliance dashboards showing trending performance against benchmarks and Star Rating thresholds.</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Laboratory Claims Denial Analysis and Appeals</w:t>
            </w:r>
          </w:p>
        </w:tc>
        <w:tc>
          <w:tcPr>
            <w:tcW w:type="dxa" w:w="3600"/>
          </w:tcPr>
          <w:p>
            <w:r>
              <w:rPr>
                <w:rFonts w:ascii="Arial" w:hAnsi="Arial"/>
                <w:sz w:val="17"/>
              </w:rPr>
              <w:t>Requires judgment to interpret denial reason codes in the context of laboratory-specific coverage policies (LCDs/NCDs), determine whether denial stems from coding error, missing documentation, medical necessity failure, or CLIA compliance issue, and select the appropriate corrective action or appeal strategy</w:t>
            </w:r>
          </w:p>
        </w:tc>
        <w:tc>
          <w:tcPr>
            <w:tcW w:type="dxa" w:w="2736"/>
          </w:tcPr>
          <w:p>
            <w:r>
              <w:rPr>
                <w:rFonts w:ascii="Arial" w:hAnsi="Arial"/>
                <w:sz w:val="17"/>
              </w:rPr>
              <w:t>Denial analysis report with root cause categorization, completed appeal letters with supporting clinical documentation and regulatory citations, and trend analysis identifying systemic denial patterns for upstream process improvement.</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P1</w:t>
            </w:r>
          </w:p>
        </w:tc>
        <w:tc>
          <w:tcPr>
            <w:tcW w:type="dxa" w:w="2016"/>
          </w:tcPr>
          <w:p>
            <w:r>
              <w:rPr>
                <w:rFonts w:ascii="Arial" w:hAnsi="Arial"/>
                <w:sz w:val="17"/>
              </w:rPr>
              <w:t>Medication Therapy Management (MTM) Comprehensive Medication Review</w:t>
            </w:r>
          </w:p>
        </w:tc>
        <w:tc>
          <w:tcPr>
            <w:tcW w:type="dxa" w:w="3600"/>
          </w:tcPr>
          <w:p>
            <w:r>
              <w:rPr>
                <w:rFonts w:ascii="Arial" w:hAnsi="Arial"/>
                <w:sz w:val="17"/>
              </w:rPr>
              <w:t>The pharmacist must adjudicate multiple competing clinical considerations, drug interactions, therapeutic duplication, adherence barriers, cost optimization, formulary alignment, and synthesize a prioritized action plan. Each medication must be evaluated against the patient's complete clinical picture.</w:t>
            </w:r>
          </w:p>
        </w:tc>
        <w:tc>
          <w:tcPr>
            <w:tcW w:type="dxa" w:w="2736"/>
          </w:tcPr>
          <w:p>
            <w:r>
              <w:rPr>
                <w:rFonts w:ascii="Arial" w:hAnsi="Arial"/>
                <w:sz w:val="17"/>
              </w:rPr>
              <w:t>Personal Medication Record (PMR), Medication Action Plan (MAP) with prioritized recommendations, comprehensive medication review documentation, identified medication-related problems with resolution plans, and patient education materials.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Provider Credentialing and Privileging Verification</w:t>
            </w:r>
          </w:p>
        </w:tc>
        <w:tc>
          <w:tcPr>
            <w:tcW w:type="dxa" w:w="3600"/>
          </w:tcPr>
          <w:p>
            <w:r>
              <w:rPr>
                <w:rFonts w:ascii="Arial" w:hAnsi="Arial"/>
                <w:sz w:val="17"/>
              </w:rPr>
              <w:t>The credentialing specialist must orchestrate verification requests across 10-15 distinct primary sources (state licensing boards, NPDB, ABMS, AMA Physician Masterfile, medical schools, training programs, DEA, OIG LEIE, SAM.gov, malpractice carriers, peer references, hospital affiliations), track response timelines against NCQA 120-day windows, reconcile discrepancies across sources, and assemble a complete credentials file for committee review. The complexity lies in parallel coordination of many independent verification threads, managing exceptions and discrepancies, and ensuring all elements are current and complete before the file advances to the credentials committee. Judgment is required for discrepancy resolution but the individual verification steps follow standardized procedures.</w:t>
            </w:r>
          </w:p>
        </w:tc>
        <w:tc>
          <w:tcPr>
            <w:tcW w:type="dxa" w:w="2736"/>
          </w:tcPr>
          <w:p>
            <w:r>
              <w:rPr>
                <w:rFonts w:ascii="Arial" w:hAnsi="Arial"/>
                <w:sz w:val="17"/>
              </w:rPr>
              <w:t>Completed credentialing file with primary source verified credentials, privileging recommendation based on training/competency, committee approval documentation, and reappointment tracking schedule.</w:t>
            </w:r>
          </w:p>
        </w:tc>
        <w:tc>
          <w:tcPr>
            <w:tcW w:type="dxa" w:w="3600"/>
          </w:tcPr>
          <w:p>
            <w:r>
              <w:rPr>
                <w:rFonts w:ascii="Arial" w:hAnsi="Arial"/>
                <w:sz w:val="17"/>
              </w:rPr>
              <w:t>Include one primary-source verification result that conflicts with another source (e.g., differing dates of board certification) to test discrepancy resolution rather than simple lookup confirmation.</w:t>
            </w:r>
          </w:p>
        </w:tc>
        <w:tc>
          <w:tcPr>
            <w:tcW w:type="dxa" w:w="2880"/>
          </w:tcPr>
          <w:p>
            <w:r>
              <w:rPr>
                <w:rFonts w:ascii="Arial" w:hAnsi="Arial"/>
                <w:sz w:val="17"/>
              </w:rPr>
              <w:t>NCQA Credentialing Standards: https://www.ncqa.org/programs/health-plans/credentialing-cr/ | NPDB: https://www.npdb.hrsa.gov/ | OIG LEIE exclusion list: https://oig.hhs.gov/exclusions/</w:t>
            </w:r>
          </w:p>
        </w:tc>
      </w:tr>
      <w:tr>
        <w:tc>
          <w:tcPr>
            <w:tcW w:type="dxa" w:w="792"/>
          </w:tcPr>
          <w:p>
            <w:r>
              <w:rPr>
                <w:rFonts w:ascii="Arial" w:hAnsi="Arial"/>
                <w:b/>
                <w:sz w:val="17"/>
              </w:rPr>
              <w:t>P1</w:t>
            </w:r>
          </w:p>
        </w:tc>
        <w:tc>
          <w:tcPr>
            <w:tcW w:type="dxa" w:w="2016"/>
          </w:tcPr>
          <w:p>
            <w:r>
              <w:rPr>
                <w:rFonts w:ascii="Arial" w:hAnsi="Arial"/>
                <w:sz w:val="17"/>
              </w:rPr>
              <w:t>Utilization Review Concurrent Stay Documentation</w:t>
            </w:r>
          </w:p>
        </w:tc>
        <w:tc>
          <w:tcPr>
            <w:tcW w:type="dxa" w:w="3600"/>
          </w:tcPr>
          <w:p>
            <w:r>
              <w:rPr>
                <w:rFonts w:ascii="Arial" w:hAnsi="Arial"/>
                <w:sz w:val="17"/>
              </w:rPr>
              <w:t>Each concurrent review episode requires the UR nurse to adjudicate whether a patient's continued inpatient stay meets medical necessity criteria by weighing clinical documentation against evidence-based criteria (InterQual or MCG). The nurse must determine: (1) Does the patient's current clinical status justify the current level of care? (2) Is the patient a responder, partial responder, or nonresponder to treatment per the criteria tool? (3) Should the patient status remain inpatient, be converted to observation, or be discharged/transferred to a lower level of care? (4) Is the clinical documentation sufficient to support the medical necessity determination? When criteria are not clearly met, the UR nurse must escalate to the physician advisor for a second-level clinical review, and potentially initiate a peer-to-peer discussion with the payer's medical director. This is fundamentally an adjudication workflow, applying clinical criteria to individual patient facts to render a coverage determination, with escalation pathways for ambiguous cases.</w:t>
            </w:r>
          </w:p>
        </w:tc>
        <w:tc>
          <w:tcPr>
            <w:tcW w:type="dxa" w:w="2736"/>
          </w:tcPr>
          <w:p>
            <w:r>
              <w:rPr>
                <w:rFonts w:ascii="Arial" w:hAnsi="Arial"/>
                <w:sz w:val="17"/>
              </w:rPr>
              <w:t>Documented medical necessity determination with clinical criteria citation, continued stay authorization status, and discharge planning milestones for each concurrent review day.</w:t>
            </w:r>
          </w:p>
        </w:tc>
        <w:tc>
          <w:tcPr>
            <w:tcW w:type="dxa" w:w="3600"/>
          </w:tcPr>
          <w:p>
            <w:r>
              <w:rPr>
                <w:rFonts w:ascii="Arial" w:hAnsi="Arial"/>
                <w:sz w:val="17"/>
              </w:rPr>
              <w:t>Provide clinical documentation that partially but not fully meets InterQual/MCG-style criteria, so the agent must judge sufficiency rather than apply a simple checklist.</w:t>
            </w:r>
          </w:p>
        </w:tc>
        <w:tc>
          <w:tcPr>
            <w:tcW w:type="dxa" w:w="2880"/>
          </w:tcPr>
          <w:p>
            <w:r>
              <w:rPr>
                <w:rFonts w:ascii="Arial" w:hAnsi="Arial"/>
                <w:sz w:val="17"/>
              </w:rPr>
              <w:t>InterQual and MCG criteria (vendor, via your organization's license) | CMS Two-Midnight Rule guidance: https://www.cms.gov/medicare/coverage/two-midnight-rule</w:t>
            </w:r>
          </w:p>
        </w:tc>
      </w:tr>
      <w:tr>
        <w:tc>
          <w:tcPr>
            <w:tcW w:type="dxa" w:w="792"/>
          </w:tcPr>
          <w:p>
            <w:r>
              <w:rPr>
                <w:rFonts w:ascii="Arial" w:hAnsi="Arial"/>
                <w:b/>
                <w:sz w:val="17"/>
              </w:rPr>
              <w:t>P1</w:t>
            </w:r>
          </w:p>
        </w:tc>
        <w:tc>
          <w:tcPr>
            <w:tcW w:type="dxa" w:w="2016"/>
          </w:tcPr>
          <w:p>
            <w:r>
              <w:rPr>
                <w:rFonts w:ascii="Arial" w:hAnsi="Arial"/>
                <w:sz w:val="17"/>
              </w:rPr>
              <w:t>Acute Care Discharge Planning</w:t>
            </w:r>
          </w:p>
        </w:tc>
        <w:tc>
          <w:tcPr>
            <w:tcW w:type="dxa" w:w="3600"/>
          </w:tcPr>
          <w:p>
            <w:r>
              <w:rPr>
                <w:rFonts w:ascii="Arial" w:hAnsi="Arial"/>
                <w:sz w:val="17"/>
              </w:rPr>
              <w:t>Requires coordinating multiple stakeholders, systems, or sequential processes toward a defined outcome, for Acute Care Discharge Planning, this means managing handoffs, timelines, and information flows across parties so the workflow reaches completion with all dependencies satisfied.</w:t>
            </w:r>
          </w:p>
        </w:tc>
        <w:tc>
          <w:tcPr>
            <w:tcW w:type="dxa" w:w="2736"/>
          </w:tcPr>
          <w:p>
            <w:r>
              <w:rPr>
                <w:rFonts w:ascii="Arial" w:hAnsi="Arial"/>
                <w:sz w:val="17"/>
              </w:rPr>
              <w:t>Documented discharge plan including post-acute services, follow-up appointments, and patient education.</w:t>
            </w:r>
          </w:p>
        </w:tc>
        <w:tc>
          <w:tcPr>
            <w:tcW w:type="dxa" w:w="3600"/>
          </w:tcPr>
          <w:p>
            <w:r>
              <w:rPr>
                <w:rFonts w:ascii="Arial" w:hAnsi="Arial"/>
                <w:sz w:val="17"/>
              </w:rPr>
              <w:t>Add a discrepancy between the discharge medication list and what was actually administered during the stay, requiring the agent to identify and resolve an unintentional change.</w:t>
            </w:r>
          </w:p>
        </w:tc>
        <w:tc>
          <w:tcPr>
            <w:tcW w:type="dxa" w:w="2880"/>
          </w:tcPr>
          <w:p>
            <w:r>
              <w:rPr>
                <w:rFonts w:ascii="Arial" w:hAnsi="Arial"/>
                <w:sz w:val="17"/>
              </w:rPr>
              <w:t>AHRQ Care Transitions resources: https://www.ahrq.gov/patient-safety/settings/hospital/red/index.html | CMS Discharge Planning CoPs: https://www.cms.gov/medicare/health-safety-standards/quality-safety-oversight-certification-compliance</w:t>
            </w:r>
          </w:p>
        </w:tc>
      </w:tr>
      <w:tr>
        <w:tc>
          <w:tcPr>
            <w:tcW w:type="dxa" w:w="792"/>
          </w:tcPr>
          <w:p>
            <w:r>
              <w:rPr>
                <w:rFonts w:ascii="Arial" w:hAnsi="Arial"/>
                <w:b/>
                <w:sz w:val="17"/>
              </w:rPr>
              <w:t>P1</w:t>
            </w:r>
          </w:p>
        </w:tc>
        <w:tc>
          <w:tcPr>
            <w:tcW w:type="dxa" w:w="2016"/>
          </w:tcPr>
          <w:p>
            <w:r>
              <w:rPr>
                <w:rFonts w:ascii="Arial" w:hAnsi="Arial"/>
                <w:sz w:val="17"/>
              </w:rPr>
              <w:t>Care Planning</w:t>
            </w:r>
          </w:p>
        </w:tc>
        <w:tc>
          <w:tcPr>
            <w:tcW w:type="dxa" w:w="3600"/>
          </w:tcPr>
          <w:p>
            <w:r>
              <w:rPr>
                <w:rFonts w:ascii="Arial" w:hAnsi="Arial"/>
                <w:sz w:val="17"/>
              </w:rPr>
              <w:t>Requires integrating information from multiple disparate sources into a coherent, unified output, for Care Planning, this means transforming raw inputs (records, data, precedents) into a structured document that communicates findings, positions, or recommendations.</w:t>
            </w:r>
          </w:p>
        </w:tc>
        <w:tc>
          <w:tcPr>
            <w:tcW w:type="dxa" w:w="2736"/>
          </w:tcPr>
          <w:p>
            <w:r>
              <w:rPr>
                <w:rFonts w:ascii="Arial" w:hAnsi="Arial"/>
                <w:sz w:val="17"/>
              </w:rPr>
              <w:t>SOAP Note, Flowsheets, Completed Care Plan.</w:t>
            </w:r>
          </w:p>
        </w:tc>
        <w:tc>
          <w:tcPr>
            <w:tcW w:type="dxa" w:w="3600"/>
          </w:tcPr>
          <w:p>
            <w:r>
              <w:rPr>
                <w:rFonts w:ascii="Arial" w:hAnsi="Arial"/>
                <w:sz w:val="17"/>
              </w:rPr>
              <w:t>Add a guideline conflict between two conditions (e.g., a medication indicated for one chronic condition but relatively contraindicated for another the same patient has) so the agent must reconcile competing recommendations.</w:t>
            </w:r>
          </w:p>
        </w:tc>
        <w:tc>
          <w:tcPr>
            <w:tcW w:type="dxa" w:w="2880"/>
          </w:tcPr>
          <w:p>
            <w:r>
              <w:rPr>
                <w:rFonts w:ascii="Arial" w:hAnsi="Arial"/>
                <w:sz w:val="17"/>
              </w:rPr>
              <w:t>CDC chronic disease guidelines hub: https://www.cdc.gov/chronicdisease/ | Specialty society guideline pages (e.g., ACC/AHA, ADA) as relevant to the specific condition pair</w:t>
            </w:r>
          </w:p>
        </w:tc>
      </w:tr>
      <w:tr>
        <w:tc>
          <w:tcPr>
            <w:tcW w:type="dxa" w:w="792"/>
          </w:tcPr>
          <w:p>
            <w:r>
              <w:rPr>
                <w:rFonts w:ascii="Arial" w:hAnsi="Arial"/>
                <w:b/>
                <w:sz w:val="17"/>
              </w:rPr>
              <w:t>P1</w:t>
            </w:r>
          </w:p>
        </w:tc>
        <w:tc>
          <w:tcPr>
            <w:tcW w:type="dxa" w:w="2016"/>
          </w:tcPr>
          <w:p>
            <w:r>
              <w:rPr>
                <w:rFonts w:ascii="Arial" w:hAnsi="Arial"/>
                <w:sz w:val="17"/>
              </w:rPr>
              <w:t>CDI Database Entry and Case Documentation</w:t>
            </w:r>
          </w:p>
        </w:tc>
        <w:tc>
          <w:tcPr>
            <w:tcW w:type="dxa" w:w="3600"/>
          </w:tcPr>
          <w:p>
            <w:r>
              <w:rPr>
                <w:rFonts w:ascii="Arial" w:hAnsi="Arial"/>
                <w:sz w:val="17"/>
              </w:rPr>
              <w:t>The database entry and case documentation workflow is primarily execution-level: populating predefined fields in CDI tracking platforms, transcribing review findings from the chart review into structured database records, logging query statuses, and updating case dispositions. While the upstream clinical review requires adjudication-level judgment, the data entry step itself follows standardized templates and field definitions with limited discretionary decision-making. The specialist must accurately translate clinical findings into database fields but does not make new clinical judgments during the documentation step.</w:t>
            </w:r>
          </w:p>
        </w:tc>
        <w:tc>
          <w:tcPr>
            <w:tcW w:type="dxa" w:w="2736"/>
          </w:tcPr>
          <w:p>
            <w:r>
              <w:rPr>
                <w:rFonts w:ascii="Arial" w:hAnsi="Arial"/>
                <w:sz w:val="17"/>
              </w:rPr>
              <w:t>Fully documented CDI case record with working DRG, identified query opportunities, clinical indicators, documentation gaps, and review status tracked in CDI platform database.</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P1</w:t>
            </w:r>
          </w:p>
        </w:tc>
        <w:tc>
          <w:tcPr>
            <w:tcW w:type="dxa" w:w="2016"/>
          </w:tcPr>
          <w:p>
            <w:r>
              <w:rPr>
                <w:rFonts w:ascii="Arial" w:hAnsi="Arial"/>
                <w:sz w:val="17"/>
              </w:rPr>
              <w:t>Critical Value Notification and Documentation</w:t>
            </w:r>
          </w:p>
        </w:tc>
        <w:tc>
          <w:tcPr>
            <w:tcW w:type="dxa" w:w="3600"/>
          </w:tcPr>
          <w:p>
            <w:r>
              <w:rPr>
                <w:rFonts w:ascii="Arial" w:hAnsi="Arial"/>
                <w:sz w:val="17"/>
              </w:rPr>
              <w:t>Largely rule-based execution with structured escalation paths. The core notification follows a deterministic protocol, though judgment is needed for specimen validity assessment (e.g., hemolyzed potassium, prolonged glucose specimens) and identifying the correct responsible provider for notification.</w:t>
            </w:r>
          </w:p>
        </w:tc>
        <w:tc>
          <w:tcPr>
            <w:tcW w:type="dxa" w:w="2736"/>
          </w:tcPr>
          <w:p>
            <w:r>
              <w:rPr>
                <w:rFonts w:ascii="Arial" w:hAnsi="Arial"/>
                <w:sz w:val="17"/>
              </w:rPr>
              <w:t>Documented critical value notification record including result value, date/time of result, date/time of provider notification, name of person notified, read-back confirmation, and any immediate clinical actions ordered.</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DRG Validation and Clinical Coding Audit</w:t>
            </w:r>
          </w:p>
        </w:tc>
        <w:tc>
          <w:tcPr>
            <w:tcW w:type="dxa" w:w="3600"/>
          </w:tcPr>
          <w:p>
            <w:r>
              <w:rPr>
                <w:rFonts w:ascii="Arial" w:hAnsi="Arial"/>
                <w:sz w:val="17"/>
              </w:rPr>
              <w:t>Each audited case requires multi-layered adjudication. The auditor must: (1) independently determine the correct principal diagnosis by applying UHDDS definition and Official Coding Guidelines Section II against the complete medical record; (2) adjudicate CC/MCC status of each secondary diagnosis against clinical documentation support and the CMS CC/MCC Exclusion List; (3) validate POA indicators by tracing the clinical timeline from ED/admission through discharge; (4) verify ICD-10-PCS procedure codes against operative reports using root operation definitions; (5) run the MS-DRG grouper with auditor-determined codes and compare against the original DRG assignment; and (6) classify each discrepancy by root cause (documentation deficiency, coding error, sequencing error, clinical validation failure). When the auditor's DRG differs from the original, the auditor must document the specific coding guideline or clinical rationale supporting the change. Cases involving sepsis sequencing, malnutrition severity, mechanical ventilation hours, and heart failure classification require particularly nuanced clinical-coding judgment that goes beyond rule application.</w:t>
            </w:r>
          </w:p>
        </w:tc>
        <w:tc>
          <w:tcPr>
            <w:tcW w:type="dxa" w:w="2736"/>
          </w:tcPr>
          <w:p>
            <w:r>
              <w:rPr>
                <w:rFonts w:ascii="Arial" w:hAnsi="Arial"/>
                <w:sz w:val="17"/>
              </w:rPr>
              <w:t>DRG validation report with original vs. validated DRG, revenue impact analysis, coding error identification with guideline citations, coder education recommendations, and financial summary of DRG changes.</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P1</w:t>
            </w:r>
          </w:p>
        </w:tc>
        <w:tc>
          <w:tcPr>
            <w:tcW w:type="dxa" w:w="2016"/>
          </w:tcPr>
          <w:p>
            <w:r>
              <w:rPr>
                <w:rFonts w:ascii="Arial" w:hAnsi="Arial"/>
                <w:sz w:val="17"/>
              </w:rPr>
              <w:t>Electronic Prior Authorization Submission (Portal/EHR)</w:t>
            </w:r>
          </w:p>
        </w:tc>
        <w:tc>
          <w:tcPr>
            <w:tcW w:type="dxa" w:w="3600"/>
          </w:tcPr>
          <w:p>
            <w:r>
              <w:rPr>
                <w:rFonts w:ascii="Arial" w:hAnsi="Arial"/>
                <w:sz w:val="17"/>
              </w:rPr>
              <w:t>Requires performing a defined, repeatable sequence of steps following established protocols with minimal independent judgment, for Electronic Prior Authorization Submission (Portal/EHR), this means completing structured tasks accurately and efficiently within a predefined system or process.</w:t>
            </w:r>
          </w:p>
        </w:tc>
        <w:tc>
          <w:tcPr>
            <w:tcW w:type="dxa" w:w="2736"/>
          </w:tcPr>
          <w:p>
            <w:r>
              <w:rPr>
                <w:rFonts w:ascii="Arial" w:hAnsi="Arial"/>
                <w:sz w:val="17"/>
              </w:rPr>
              <w:t>Prior authorization request initiated.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P1</w:t>
            </w:r>
          </w:p>
        </w:tc>
        <w:tc>
          <w:tcPr>
            <w:tcW w:type="dxa" w:w="2016"/>
          </w:tcPr>
          <w:p>
            <w:r>
              <w:rPr>
                <w:rFonts w:ascii="Arial" w:hAnsi="Arial"/>
                <w:sz w:val="17"/>
              </w:rPr>
              <w:t>HEDIS Care Gap Analysis and Outreach Planning</w:t>
            </w:r>
          </w:p>
        </w:tc>
        <w:tc>
          <w:tcPr>
            <w:tcW w:type="dxa" w:w="3600"/>
          </w:tcPr>
          <w:p>
            <w:r>
              <w:rPr>
                <w:rFonts w:ascii="Arial" w:hAnsi="Arial"/>
                <w:sz w:val="17"/>
              </w:rPr>
              <w:t>Coordinates across multiple data systems (claims warehouse, EHR feeds, pharmacy data, lab results, HIE), applies complex NCQA technical specifications with measure-specific exclusions and value sets, synthesizes member-level gap reports, and generates multi-channel outreach plans requiring alignment between quality, care management, provider relations, and member services teams.</w:t>
            </w:r>
          </w:p>
        </w:tc>
        <w:tc>
          <w:tcPr>
            <w:tcW w:type="dxa" w:w="2736"/>
          </w:tcPr>
          <w:p>
            <w:r>
              <w:rPr>
                <w:rFonts w:ascii="Arial" w:hAnsi="Arial"/>
                <w:sz w:val="17"/>
              </w:rPr>
              <w:t>Validated and prioritized care gap outreach list segmented by HEDIS measure, risk level, and provider panel with member-level intervention recommendations and projected measure impact.</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Hierarchical Condition Category (HCC) Risk Coding Review</w:t>
            </w:r>
          </w:p>
        </w:tc>
        <w:tc>
          <w:tcPr>
            <w:tcW w:type="dxa" w:w="3600"/>
          </w:tcPr>
          <w:p>
            <w:r>
              <w:rPr>
                <w:rFonts w:ascii="Arial" w:hAnsi="Arial"/>
                <w:sz w:val="17"/>
              </w:rPr>
              <w:t>Each enrollee chart requires adjudication, the coder must review clinical documentation across multiple provider encounters and determine whether each chronic condition is (1) documented with sufficient clinical specificity to support the ICD-10-CM code, (2) supported by MEAT criteria evidence in a face-to-face encounter within the calendar year, and (3) correctly mapped to the appropriate HCC category under the CMS-HCC model. The coder must also identify conditions documented in clinical notes but not captured in claims (gap identification). The OIG's 2024 audit of EmblemHealth found 362 of 1,220 sampled HCCs were unsupported by medical records, demonstrating that code-to-documentation adjudication is non-trivial. Historical RADV actions show insufficient MEAT documentation invalidated 20-40% of HCCs in sampled charts.</w:t>
            </w:r>
          </w:p>
        </w:tc>
        <w:tc>
          <w:tcPr>
            <w:tcW w:type="dxa" w:w="2736"/>
          </w:tcPr>
          <w:p>
            <w:r>
              <w:rPr>
                <w:rFonts w:ascii="Arial" w:hAnsi="Arial"/>
                <w:sz w:val="17"/>
              </w:rPr>
              <w:t>Validated HCC risk-adjusted coding report with confirmed or corrected ICD-10-CM codes mapped to appropriate HCC categories, including RAF score impact and documentation gaps identified for provider follow-up.</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P1</w:t>
            </w:r>
          </w:p>
        </w:tc>
        <w:tc>
          <w:tcPr>
            <w:tcW w:type="dxa" w:w="2016"/>
          </w:tcPr>
          <w:p>
            <w:r>
              <w:rPr>
                <w:rFonts w:ascii="Arial" w:hAnsi="Arial"/>
                <w:sz w:val="17"/>
              </w:rPr>
              <w:t>HIPAA Compliance Risk Assessment and Gap Analysis</w:t>
            </w:r>
          </w:p>
        </w:tc>
        <w:tc>
          <w:tcPr>
            <w:tcW w:type="dxa" w:w="3600"/>
          </w:tcPr>
          <w:p>
            <w:r>
              <w:rPr>
                <w:rFonts w:ascii="Arial" w:hAnsi="Arial"/>
                <w:sz w:val="17"/>
              </w:rPr>
              <w:t>Requires weighing risks, interpreting regulatory standards against organizational context, determining likelihood and impact ratings, and making judgment calls on gap severity and remediation priority. Not purely mechanical, assessors must evaluate whether compensating controls adequately address requirements and determine risk acceptability thresholds.</w:t>
            </w:r>
          </w:p>
        </w:tc>
        <w:tc>
          <w:tcPr>
            <w:tcW w:type="dxa" w:w="2736"/>
          </w:tcPr>
          <w:p>
            <w:r>
              <w:rPr>
                <w:rFonts w:ascii="Arial" w:hAnsi="Arial"/>
                <w:sz w:val="17"/>
              </w:rPr>
              <w:t>Comprehensive HIPAA risk assessment report identifying threats and vulnerabilities to ePHI, risk ratings (likelihood × impact), remediation prioritization matrix, gap analysis against 45 CFR 164 requirements, and corrective action plan with timelines.</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Home Health - using HCHB for patient care. If I had access could pull revenue per case, use of services (PT, OT, SN), efficiency data, documentation review</w:t>
            </w:r>
          </w:p>
        </w:tc>
        <w:tc>
          <w:tcPr>
            <w:tcW w:type="dxa" w:w="3600"/>
          </w:tcPr>
          <w:p>
            <w:r>
              <w:rPr>
                <w:rFonts w:ascii="Arial" w:hAnsi="Arial"/>
                <w:sz w:val="17"/>
              </w:rPr>
              <w:t>Requires coordinating multiple stakeholders, systems, or sequential processes toward a defined outcome, for Home Health - using HCHB for patient care. If I had access could pull revenue per case, use of services (PT, OT, SN), efficiency data, documentation review, this means managing handoffs, timelines, and information flows across parties so the workflow reaches completion with all dependencies satisfied.</w:t>
            </w:r>
          </w:p>
        </w:tc>
        <w:tc>
          <w:tcPr>
            <w:tcW w:type="dxa" w:w="2736"/>
          </w:tcPr>
          <w:p>
            <w:r>
              <w:rPr>
                <w:rFonts w:ascii="Arial" w:hAnsi="Arial"/>
                <w:sz w:val="17"/>
              </w:rPr>
              <w:t>Completed home health visit notes and documentation package, plus operational reports on utilization, efficiency, and revenue per case.</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Inpatient Admission Note</w:t>
            </w:r>
          </w:p>
        </w:tc>
        <w:tc>
          <w:tcPr>
            <w:tcW w:type="dxa" w:w="3600"/>
          </w:tcPr>
          <w:p>
            <w:r>
              <w:rPr>
                <w:rFonts w:ascii="Arial" w:hAnsi="Arial"/>
                <w:sz w:val="17"/>
              </w:rPr>
              <w:t>Requires integrating information from multiple disparate sources into a coherent, unified output, for Inpatient Admission Note, this means transforming raw inputs (records, data, precedents) into a structured document that communicates findings, positions, or recommendations.</w:t>
            </w:r>
          </w:p>
        </w:tc>
        <w:tc>
          <w:tcPr>
            <w:tcW w:type="dxa" w:w="2736"/>
          </w:tcPr>
          <w:p>
            <w:r>
              <w:rPr>
                <w:rFonts w:ascii="Arial" w:hAnsi="Arial"/>
                <w:sz w:val="17"/>
              </w:rPr>
              <w:t>A completed history and physical, complete with CPT codes and encounter information, as well as a clinical impression and plan. This item is coded and fully billable at delivery.</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Inpatient admission workflow</w:t>
            </w:r>
          </w:p>
        </w:tc>
        <w:tc>
          <w:tcPr>
            <w:tcW w:type="dxa" w:w="3600"/>
          </w:tcPr>
          <w:p>
            <w:r>
              <w:rPr>
                <w:rFonts w:ascii="Arial" w:hAnsi="Arial"/>
                <w:sz w:val="17"/>
              </w:rPr>
              <w:t>Requires coordinating multiple stakeholders, systems, or sequential processes toward a defined outcome, for Inpatient admission workflow, this means managing handoffs, timelines, and information flows across parties so the workflow reaches completion with all dependencies satisfied.</w:t>
            </w:r>
          </w:p>
        </w:tc>
        <w:tc>
          <w:tcPr>
            <w:tcW w:type="dxa" w:w="2736"/>
          </w:tcPr>
          <w:p>
            <w:r>
              <w:rPr>
                <w:rFonts w:ascii="Arial" w:hAnsi="Arial"/>
                <w:sz w:val="17"/>
              </w:rPr>
              <w:t>This entails a lot of time talking with people and sifting through computer records to determine what is appropriate information that pertains to the current hospitalization. This also involved trying to get everything set up so that you did not lengthen the stay of the patient in the hospital.</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Inpatient hospitalization</w:t>
            </w:r>
          </w:p>
        </w:tc>
        <w:tc>
          <w:tcPr>
            <w:tcW w:type="dxa" w:w="3600"/>
          </w:tcPr>
          <w:p>
            <w:r>
              <w:rPr>
                <w:rFonts w:ascii="Arial" w:hAnsi="Arial"/>
                <w:sz w:val="17"/>
              </w:rPr>
              <w:t>Requires coordinating multiple stakeholders, systems, or sequential processes toward a defined outcome, for Inpatient hospitalization, this means managing handoffs, timelines, and information flows across parties so the workflow reaches completion with all dependencies satisfied.</w:t>
            </w:r>
          </w:p>
        </w:tc>
        <w:tc>
          <w:tcPr>
            <w:tcW w:type="dxa" w:w="2736"/>
          </w:tcPr>
          <w:p>
            <w:r>
              <w:rPr>
                <w:rFonts w:ascii="Arial" w:hAnsi="Arial"/>
                <w:sz w:val="17"/>
              </w:rPr>
              <w:t>CDI review findings with documentation gap list and compliant physician queries (if needed).</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Inpatient Pharmacotherapy Management</w:t>
            </w:r>
          </w:p>
        </w:tc>
        <w:tc>
          <w:tcPr>
            <w:tcW w:type="dxa" w:w="3600"/>
          </w:tcPr>
          <w:p>
            <w:r>
              <w:rPr>
                <w:rFonts w:ascii="Arial" w:hAnsi="Arial"/>
                <w:sz w:val="17"/>
              </w:rPr>
              <w:t>Requires applying established criteria or standards to specific facts in order to reach a consequential, defensible determination, for Inpatient Pharmacotherapy Management, this means exercising domain expertise to resolve competing interpretations and produce a binding or actionable judgment.</w:t>
            </w:r>
          </w:p>
        </w:tc>
        <w:tc>
          <w:tcPr>
            <w:tcW w:type="dxa" w:w="2736"/>
          </w:tcPr>
          <w:p>
            <w:r>
              <w:rPr>
                <w:rFonts w:ascii="Arial" w:hAnsi="Arial"/>
                <w:sz w:val="17"/>
              </w:rPr>
              <w:t>Medication therapy plan with recommended dose adjustments/monitoring, documented pharmacist note, and (if applicable) updated discharge medication list.</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Inpatient vs observation determination</w:t>
            </w:r>
          </w:p>
        </w:tc>
        <w:tc>
          <w:tcPr>
            <w:tcW w:type="dxa" w:w="3600"/>
          </w:tcPr>
          <w:p>
            <w:r>
              <w:rPr>
                <w:rFonts w:ascii="Arial" w:hAnsi="Arial"/>
                <w:sz w:val="17"/>
              </w:rPr>
              <w:t>Requires applying established criteria or standards to specific facts in order to reach a consequential, defensible determination, for Inpatient vs observation determination, this means exercising domain expertise to resolve competing interpretations and produce a binding or actionable judgment.</w:t>
            </w:r>
          </w:p>
        </w:tc>
        <w:tc>
          <w:tcPr>
            <w:tcW w:type="dxa" w:w="2736"/>
          </w:tcPr>
          <w:p>
            <w:r>
              <w:rPr>
                <w:rFonts w:ascii="Arial" w:hAnsi="Arial"/>
                <w:sz w:val="17"/>
              </w:rPr>
              <w:t>Admission status determination (inpatient vs observation) documented with criteria-based rationale and supporting evidence.</w:t>
            </w:r>
          </w:p>
        </w:tc>
        <w:tc>
          <w:tcPr>
            <w:tcW w:type="dxa" w:w="3600"/>
          </w:tcPr>
          <w:p>
            <w:r>
              <w:rPr>
                <w:rFonts w:ascii="Arial" w:hAnsi="Arial"/>
                <w:sz w:val="17"/>
              </w:rPr>
              <w:t>Provide clinical documentation that partially but not fully meets InterQual/MCG-style criteria, so the agent must judge sufficiency rather than apply a simple checklist.</w:t>
            </w:r>
          </w:p>
        </w:tc>
        <w:tc>
          <w:tcPr>
            <w:tcW w:type="dxa" w:w="2880"/>
          </w:tcPr>
          <w:p>
            <w:r>
              <w:rPr>
                <w:rFonts w:ascii="Arial" w:hAnsi="Arial"/>
                <w:sz w:val="17"/>
              </w:rPr>
              <w:t>InterQual and MCG criteria (vendor, via your organization's license) | CMS Two-Midnight Rule guidance: https://www.cms.gov/medicare/coverage/two-midnight-rule</w:t>
            </w:r>
          </w:p>
        </w:tc>
      </w:tr>
      <w:tr>
        <w:tc>
          <w:tcPr>
            <w:tcW w:type="dxa" w:w="792"/>
          </w:tcPr>
          <w:p>
            <w:r>
              <w:rPr>
                <w:rFonts w:ascii="Arial" w:hAnsi="Arial"/>
                <w:b/>
                <w:sz w:val="17"/>
              </w:rPr>
              <w:t>P1</w:t>
            </w:r>
          </w:p>
        </w:tc>
        <w:tc>
          <w:tcPr>
            <w:tcW w:type="dxa" w:w="2016"/>
          </w:tcPr>
          <w:p>
            <w:r>
              <w:rPr>
                <w:rFonts w:ascii="Arial" w:hAnsi="Arial"/>
                <w:sz w:val="17"/>
              </w:rPr>
              <w:t>Laboratory Charge Master Maintenance and Fee Schedule Update</w:t>
            </w:r>
          </w:p>
        </w:tc>
        <w:tc>
          <w:tcPr>
            <w:tcW w:type="dxa" w:w="3600"/>
          </w:tcPr>
          <w:p>
            <w:r>
              <w:rPr>
                <w:rFonts w:ascii="Arial" w:hAnsi="Arial"/>
                <w:sz w:val="17"/>
              </w:rPr>
              <w:t>Coordinates across multiple data sources (CMS CLFS, AMA CPT updates, payer contracts, EHR CDM module), clinical departments (laboratory, pathology, pharmacy), and compliance requirements (price transparency, PAMA reporting) with moderate judgment on pricing strategy</w:t>
            </w:r>
          </w:p>
        </w:tc>
        <w:tc>
          <w:tcPr>
            <w:tcW w:type="dxa" w:w="2736"/>
          </w:tcPr>
          <w:p>
            <w:r>
              <w:rPr>
                <w:rFonts w:ascii="Arial" w:hAnsi="Arial"/>
                <w:sz w:val="17"/>
              </w:rPr>
              <w:t>Updated charge master (CDM) record/table and laboratory fee schedule in the billing system (often exportable to a spreadsheet), plus a change log/impact summary report.</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Laboratory CPT/ICD-10 Coding and Charge Capture</w:t>
            </w:r>
          </w:p>
        </w:tc>
        <w:tc>
          <w:tcPr>
            <w:tcW w:type="dxa" w:w="3600"/>
          </w:tcPr>
          <w:p>
            <w:r>
              <w:rPr>
                <w:rFonts w:ascii="Arial" w:hAnsi="Arial"/>
                <w:sz w:val="17"/>
              </w:rPr>
              <w:t>Requires coordinating data from the Laboratory Information System (LIS), Electronic Health Record (EHR) for ordering physician documentation, CMS NCD/LCD covered code lists for medical necessity validation, the Clinical Laboratory Fee Schedule for pricing, payer-specific coverage policies, and the hospital/lab chargemaster. The workflow involves matching test orders to CPT codes, validating ICD-10 diagnoses against NCD/LCD-specific covered code lists, applying appropriate modifiers, checking NCCI bundling edits, generating ABNs for non-covered tests, and posting charges for claim submission. This multi-system orchestration across clinical, regulatory, and financial data sources distinguishes it from single-system coding tasks.</w:t>
            </w:r>
          </w:p>
        </w:tc>
        <w:tc>
          <w:tcPr>
            <w:tcW w:type="dxa" w:w="2736"/>
          </w:tcPr>
          <w:p>
            <w:r>
              <w:rPr>
                <w:rFonts w:ascii="Arial" w:hAnsi="Arial"/>
                <w:sz w:val="17"/>
              </w:rPr>
              <w:t>Coded laboratory charges with validated CPT codes mapped to supporting ICD-10-CM diagnosis codes, medical necessity verification against applicable LCDs/NCDs, and charges captured in the billing system ready for claim submission.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P1</w:t>
            </w:r>
          </w:p>
        </w:tc>
        <w:tc>
          <w:tcPr>
            <w:tcW w:type="dxa" w:w="2016"/>
          </w:tcPr>
          <w:p>
            <w:r>
              <w:rPr>
                <w:rFonts w:ascii="Arial" w:hAnsi="Arial"/>
                <w:sz w:val="17"/>
              </w:rPr>
              <w:t>Laboratory Utilization Management Review</w:t>
            </w:r>
          </w:p>
        </w:tc>
        <w:tc>
          <w:tcPr>
            <w:tcW w:type="dxa" w:w="3600"/>
          </w:tcPr>
          <w:p>
            <w:r>
              <w:rPr>
                <w:rFonts w:ascii="Arial" w:hAnsi="Arial"/>
                <w:sz w:val="17"/>
              </w:rPr>
              <w:t>The pathologist must adjudicate individual test order appropriateness against clinical criteria, balancing medical necessity, evidence-based guidelines, cost-effectiveness, and patient safety. For prospective review, the pathologist evaluates flagged orders in real-time, deciding whether to approve, modify, or deny test requests, often requiring consultation with ordering clinicians to understand clinical context. For retrospective review, the pathologist must synthesize utilization data across multiple dimensions (test type, ordering provider, department, diagnosis) to identify patterns of overutilization or misuse, then formulate evidence-based recommendations for the LUMC. This requires judgment that goes beyond pattern matching because each clinical scenario has unique factors (patient acuity, differential diagnosis, treatment plan) that affect whether a test is appropriate.</w:t>
            </w:r>
          </w:p>
        </w:tc>
        <w:tc>
          <w:tcPr>
            <w:tcW w:type="dxa" w:w="2736"/>
          </w:tcPr>
          <w:p>
            <w:r>
              <w:rPr>
                <w:rFonts w:ascii="Arial" w:hAnsi="Arial"/>
                <w:sz w:val="17"/>
              </w:rPr>
              <w:t>Laboratory utilization review report identifying over-utilized and redundant test orders, cost savings opportunities, compliance with clinical practice guidelines, and recommended order set modifications or clinical decision support rule proposals.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Length of stay determination</w:t>
            </w:r>
          </w:p>
        </w:tc>
        <w:tc>
          <w:tcPr>
            <w:tcW w:type="dxa" w:w="3600"/>
          </w:tcPr>
          <w:p>
            <w:r>
              <w:rPr>
                <w:rFonts w:ascii="Arial" w:hAnsi="Arial"/>
                <w:sz w:val="17"/>
              </w:rPr>
              <w:t>Requires applying established criteria or standards to specific facts in order to reach a consequential, defensible determination, for Length of stay determination, this means exercising domain expertise to resolve competing interpretations and produce a binding or actionable judgment.</w:t>
            </w:r>
          </w:p>
        </w:tc>
        <w:tc>
          <w:tcPr>
            <w:tcW w:type="dxa" w:w="2736"/>
          </w:tcPr>
          <w:p>
            <w:r>
              <w:rPr>
                <w:rFonts w:ascii="Arial" w:hAnsi="Arial"/>
                <w:sz w:val="17"/>
              </w:rPr>
              <w:t>Documented continued-stay/length-of-stay determination with rationale and next review date.</w:t>
            </w:r>
          </w:p>
        </w:tc>
        <w:tc>
          <w:tcPr>
            <w:tcW w:type="dxa" w:w="3600"/>
          </w:tcPr>
          <w:p>
            <w:r>
              <w:rPr>
                <w:rFonts w:ascii="Arial" w:hAnsi="Arial"/>
                <w:sz w:val="17"/>
              </w:rPr>
              <w:t>Provide clinical documentation that partially but not fully meets InterQual/MCG-style criteria, so the agent must judge sufficiency rather than apply a simple checklist.</w:t>
            </w:r>
          </w:p>
        </w:tc>
        <w:tc>
          <w:tcPr>
            <w:tcW w:type="dxa" w:w="2880"/>
          </w:tcPr>
          <w:p>
            <w:r>
              <w:rPr>
                <w:rFonts w:ascii="Arial" w:hAnsi="Arial"/>
                <w:sz w:val="17"/>
              </w:rPr>
              <w:t>InterQual and MCG criteria (vendor, via your organization's license) | CMS Two-Midnight Rule guidance: https://www.cms.gov/medicare/coverage/two-midnight-rule</w:t>
            </w:r>
          </w:p>
        </w:tc>
      </w:tr>
      <w:tr>
        <w:tc>
          <w:tcPr>
            <w:tcW w:type="dxa" w:w="792"/>
          </w:tcPr>
          <w:p>
            <w:r>
              <w:rPr>
                <w:rFonts w:ascii="Arial" w:hAnsi="Arial"/>
                <w:b/>
                <w:sz w:val="17"/>
              </w:rPr>
              <w:t>P1</w:t>
            </w:r>
          </w:p>
        </w:tc>
        <w:tc>
          <w:tcPr>
            <w:tcW w:type="dxa" w:w="2016"/>
          </w:tcPr>
          <w:p>
            <w:r>
              <w:rPr>
                <w:rFonts w:ascii="Arial" w:hAnsi="Arial"/>
                <w:sz w:val="17"/>
              </w:rPr>
              <w:t>Managed Care - have used several proprietary systems - accessing nurse productivity, documentation review, reports that include subscribers' current status, diagnoses, needs for case management</w:t>
            </w:r>
          </w:p>
        </w:tc>
        <w:tc>
          <w:tcPr>
            <w:tcW w:type="dxa" w:w="3600"/>
          </w:tcPr>
          <w:p>
            <w:r>
              <w:rPr>
                <w:rFonts w:ascii="Arial" w:hAnsi="Arial"/>
                <w:sz w:val="17"/>
              </w:rPr>
              <w:t>Requires coordinating multiple stakeholders, systems, or sequential processes toward a defined outcome, for Managed Care - have used several proprietary systems - accessing nurse productivity, documentation review, reports that include subscribers' current status, diagnoses, needs for case management, this means managing handoffs, timelines, and information flows across parties so the workflow reaches completion with all dependencies satisfied.</w:t>
            </w:r>
          </w:p>
        </w:tc>
        <w:tc>
          <w:tcPr>
            <w:tcW w:type="dxa" w:w="2736"/>
          </w:tcPr>
          <w:p>
            <w:r>
              <w:rPr>
                <w:rFonts w:ascii="Arial" w:hAnsi="Arial"/>
                <w:sz w:val="17"/>
              </w:rPr>
              <w:t>Authorization determination and documented UM/case management note meeting contract and regulatory requirements.</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Medication Management</w:t>
            </w:r>
          </w:p>
        </w:tc>
        <w:tc>
          <w:tcPr>
            <w:tcW w:type="dxa" w:w="3600"/>
          </w:tcPr>
          <w:p>
            <w:r>
              <w:rPr>
                <w:rFonts w:ascii="Arial" w:hAnsi="Arial"/>
                <w:sz w:val="17"/>
              </w:rPr>
              <w:t>Requires coordinating multiple stakeholders, systems, or sequential processes toward a defined outcome, for Medication Management, this means managing handoffs, timelines, and information flows across parties so the workflow reaches completion with all dependencies satisfied.</w:t>
            </w:r>
          </w:p>
        </w:tc>
        <w:tc>
          <w:tcPr>
            <w:tcW w:type="dxa" w:w="2736"/>
          </w:tcPr>
          <w:p>
            <w:r>
              <w:rPr>
                <w:rFonts w:ascii="Arial" w:hAnsi="Arial"/>
                <w:sz w:val="17"/>
              </w:rPr>
              <w:t>Medical recommendation delivered in variable ways dependent on day such as in person conversation, signed epic note, epic chat message, email, patient education.</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Medication Reconcilliation Documentation/Discharge Medication Reconcilliation</w:t>
            </w:r>
          </w:p>
        </w:tc>
        <w:tc>
          <w:tcPr>
            <w:tcW w:type="dxa" w:w="3600"/>
          </w:tcPr>
          <w:p>
            <w:r>
              <w:rPr>
                <w:rFonts w:ascii="Arial" w:hAnsi="Arial"/>
                <w:sz w:val="17"/>
              </w:rPr>
              <w:t>Requires integrating information from multiple disparate sources into a coherent, unified output, for Medication Reconcilliation Documentation/Discharge Medication Reconcilliation, this means transforming raw inputs (records, data, precedents) into a structured document that communicates findings, positions, or recommendations.</w:t>
            </w:r>
          </w:p>
        </w:tc>
        <w:tc>
          <w:tcPr>
            <w:tcW w:type="dxa" w:w="2736"/>
          </w:tcPr>
          <w:p>
            <w:r>
              <w:rPr>
                <w:rFonts w:ascii="Arial" w:hAnsi="Arial"/>
                <w:sz w:val="17"/>
              </w:rPr>
              <w:t>Reconciled discharge medication list documented in the EHR with resolved discrepancies and audit trail (timestamps/user).</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P1</w:t>
            </w:r>
          </w:p>
        </w:tc>
        <w:tc>
          <w:tcPr>
            <w:tcW w:type="dxa" w:w="2016"/>
          </w:tcPr>
          <w:p>
            <w:r>
              <w:rPr>
                <w:rFonts w:ascii="Arial" w:hAnsi="Arial"/>
                <w:sz w:val="17"/>
              </w:rPr>
              <w:t>National Patient Safety Goal (NPSG) Compliance Monitoring Report</w:t>
            </w:r>
          </w:p>
        </w:tc>
        <w:tc>
          <w:tcPr>
            <w:tcW w:type="dxa" w:w="3600"/>
          </w:tcPr>
          <w:p>
            <w:r>
              <w:rPr>
                <w:rFonts w:ascii="Arial" w:hAnsi="Arial"/>
                <w:sz w:val="17"/>
              </w:rPr>
              <w:t>Requires aggregating compliance data from multiple disparate systems (EHR clinical data, hand hygiene observation databases, patient safety event reports, medication reconciliation audits, alarm management data, patient identification audit results, infection surveillance systems) and synthesizing findings into a cohesive compliance status assessment with trending analysis, gap prioritization, and actionable improvement recommendations; the analyst must correlate quantitative metrics with qualitative observations and translate raw compliance percentages into meaningful patient safety narratives for leadership and clinical stakeholders</w:t>
            </w:r>
          </w:p>
        </w:tc>
        <w:tc>
          <w:tcPr>
            <w:tcW w:type="dxa" w:w="2736"/>
          </w:tcPr>
          <w:p>
            <w:r>
              <w:rPr>
                <w:rFonts w:ascii="Arial" w:hAnsi="Arial"/>
                <w:sz w:val="17"/>
              </w:rPr>
              <w:t>NPSG compliance monitoring report with goal-by-goal compliance rates, trend analysis, identified gaps, corrective actions, and readiness assessment for Joint Commission survey presented to Patient Safety Committee.</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P1</w:t>
            </w:r>
          </w:p>
        </w:tc>
        <w:tc>
          <w:tcPr>
            <w:tcW w:type="dxa" w:w="2016"/>
          </w:tcPr>
          <w:p>
            <w:r>
              <w:rPr>
                <w:rFonts w:ascii="Arial" w:hAnsi="Arial"/>
                <w:sz w:val="17"/>
              </w:rPr>
              <w:t>Operative/Procedure Report Documentation</w:t>
            </w:r>
          </w:p>
        </w:tc>
        <w:tc>
          <w:tcPr>
            <w:tcW w:type="dxa" w:w="3600"/>
          </w:tcPr>
          <w:p>
            <w:r>
              <w:rPr>
                <w:rFonts w:ascii="Arial" w:hAnsi="Arial"/>
                <w:sz w:val="17"/>
              </w:rPr>
              <w:t>Each operative report requires synthesizing real-time intraoperative observations, procedural steps performed, anatomical findings, and clinical decision-making into a structured narrative document. The surgeon must recall and accurately describe the sequence of surgical actions, tissue handling, instrument use, hemostasis, specimen handling, and closure technique, translating three-dimensional surgical activity into precise written documentation. For complex or multi-stage procedures, the report must integrate findings from imaging, pathology (frozen sections), and intraoperative consultations. This is retrospective synthesis of hands-on clinical work, not novel analysis, but requires accurate technical recall and domain-specific language.</w:t>
            </w:r>
          </w:p>
        </w:tc>
        <w:tc>
          <w:tcPr>
            <w:tcW w:type="dxa" w:w="2736"/>
          </w:tcPr>
          <w:p>
            <w:r>
              <w:rPr>
                <w:rFonts w:ascii="Arial" w:hAnsi="Arial"/>
                <w:sz w:val="17"/>
              </w:rPr>
              <w:t>Completed operative report documenting procedure performed, indications, findings, technique, specimen details, estimated blood loss, implants used, and complications, dictated or entered within the required timeframe per medical staff bylaws.</w:t>
            </w:r>
          </w:p>
        </w:tc>
        <w:tc>
          <w:tcPr>
            <w:tcW w:type="dxa" w:w="3600"/>
          </w:tcPr>
          <w:p>
            <w:r>
              <w:rPr>
                <w:rFonts w:ascii="Arial" w:hAnsi="Arial"/>
                <w:sz w:val="17"/>
              </w:rPr>
              <w:t>Reference an intraoperative finding that should change the documented plan but is easy to overlook amid procedural detail, testing whether the agent surfaces clinically significant findings.</w:t>
            </w:r>
          </w:p>
        </w:tc>
        <w:tc>
          <w:tcPr>
            <w:tcW w:type="dxa" w:w="2880"/>
          </w:tcPr>
          <w:p>
            <w:r>
              <w:rPr>
                <w:rFonts w:ascii="Arial" w:hAnsi="Arial"/>
                <w:sz w:val="17"/>
              </w:rPr>
              <w:t>ASA Standards for Pre-Anesthesia Care: https://www.asahq.org/standards-and-practice-parameters | ACS National Surgical Quality Improvement Program: https://www.facs.org/quality-programs/acs-nsqip/</w:t>
            </w:r>
          </w:p>
        </w:tc>
      </w:tr>
      <w:tr>
        <w:tc>
          <w:tcPr>
            <w:tcW w:type="dxa" w:w="792"/>
          </w:tcPr>
          <w:p>
            <w:r>
              <w:rPr>
                <w:rFonts w:ascii="Arial" w:hAnsi="Arial"/>
                <w:b/>
                <w:sz w:val="17"/>
              </w:rPr>
              <w:t>P1</w:t>
            </w:r>
          </w:p>
        </w:tc>
        <w:tc>
          <w:tcPr>
            <w:tcW w:type="dxa" w:w="2016"/>
          </w:tcPr>
          <w:p>
            <w:r>
              <w:rPr>
                <w:rFonts w:ascii="Arial" w:hAnsi="Arial"/>
                <w:sz w:val="17"/>
              </w:rPr>
              <w:t>Outpatient pharmacy</w:t>
            </w:r>
          </w:p>
        </w:tc>
        <w:tc>
          <w:tcPr>
            <w:tcW w:type="dxa" w:w="3600"/>
          </w:tcPr>
          <w:p>
            <w:r>
              <w:rPr>
                <w:rFonts w:ascii="Arial" w:hAnsi="Arial"/>
                <w:sz w:val="17"/>
              </w:rPr>
              <w:t>Requires coordinating multiple stakeholders, systems, or sequential processes toward a defined outcome, for Outpatient pharmacy, this means managing handoffs, timelines, and information flows across parties so the workflow reaches completion with all dependencies satisfied.</w:t>
            </w:r>
          </w:p>
        </w:tc>
        <w:tc>
          <w:tcPr>
            <w:tcW w:type="dxa" w:w="2736"/>
          </w:tcPr>
          <w:p>
            <w:r>
              <w:rPr>
                <w:rFonts w:ascii="Arial" w:hAnsi="Arial"/>
                <w:sz w:val="17"/>
              </w:rPr>
              <w:t>Verified specialty prescription with completed PA (if required), medication dispensed/labeled, counseling documented, adjudicated pharmacy claim.</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Payment Posting and Remittance Reconciliation</w:t>
            </w:r>
          </w:p>
        </w:tc>
        <w:tc>
          <w:tcPr>
            <w:tcW w:type="dxa" w:w="3600"/>
          </w:tcPr>
          <w:p>
            <w:r>
              <w:rPr>
                <w:rFonts w:ascii="Arial" w:hAnsi="Arial"/>
                <w:sz w:val="17"/>
              </w:rPr>
              <w:t>Largely mechanical matching and posting with rule-based adjustments; escalation to judgment only for complex denials, underpayments, or unresolved variances</w:t>
            </w:r>
          </w:p>
        </w:tc>
        <w:tc>
          <w:tcPr>
            <w:tcW w:type="dxa" w:w="2736"/>
          </w:tcPr>
          <w:p>
            <w:r>
              <w:rPr>
                <w:rFonts w:ascii="Arial" w:hAnsi="Arial"/>
                <w:sz w:val="17"/>
              </w:rPr>
              <w:t>Posted payments and adjustments matched to individual claims, reconciliation report identifying discrepancies between expected and posted amounts, unresolved balance report, and denial/adjustment code analysis.</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P1</w:t>
            </w:r>
          </w:p>
        </w:tc>
        <w:tc>
          <w:tcPr>
            <w:tcW w:type="dxa" w:w="2016"/>
          </w:tcPr>
          <w:p>
            <w:r>
              <w:rPr>
                <w:rFonts w:ascii="Arial" w:hAnsi="Arial"/>
                <w:sz w:val="17"/>
              </w:rPr>
              <w:t>Pharmacy and Therapeutics (P&amp;T) Committee Drug Monograph Preparation</w:t>
            </w:r>
          </w:p>
        </w:tc>
        <w:tc>
          <w:tcPr>
            <w:tcW w:type="dxa" w:w="3600"/>
          </w:tcPr>
          <w:p>
            <w:r>
              <w:rPr>
                <w:rFonts w:ascii="Arial" w:hAnsi="Arial"/>
                <w:sz w:val="17"/>
              </w:rPr>
              <w:t>Requires synthesizing clinical evidence from multiple published trials, FDA prescribing information, clinical practice guidelines, pharmacoeconomic analyses, and comparative effectiveness data across therapeutic alternatives. Judgment is required at multiple stages: designing the literature search strategy, critically appraising individual study quality, weighing heterogeneous evidence, interpreting clinical significance versus statistical significance, performing cost-effectiveness comparisons, and formulating a defensible formulary recommendation. The monograph must balance clinical efficacy, safety, cost, and institutional needs into a single actionable recommendation.</w:t>
            </w:r>
          </w:p>
        </w:tc>
        <w:tc>
          <w:tcPr>
            <w:tcW w:type="dxa" w:w="2736"/>
          </w:tcPr>
          <w:p>
            <w:r>
              <w:rPr>
                <w:rFonts w:ascii="Arial" w:hAnsi="Arial"/>
                <w:sz w:val="17"/>
              </w:rPr>
              <w:t>Comprehensive drug monograph with pharmacology, clinical efficacy/safety evidence, place in therapy assessment, formulary comparison, pharmacoeconomic analysis, and P&amp;T committee voting recommendation with criteria for use.</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Prior Authorization</w:t>
            </w:r>
          </w:p>
        </w:tc>
        <w:tc>
          <w:tcPr>
            <w:tcW w:type="dxa" w:w="3600"/>
          </w:tcPr>
          <w:p>
            <w:r>
              <w:rPr>
                <w:rFonts w:ascii="Arial" w:hAnsi="Arial"/>
                <w:sz w:val="17"/>
              </w:rPr>
              <w:t>Requires synthesizing information from multiple sources, the denial letter and its stated rationale, the patient's medical record, clinical guidelines (InterQual/MCG/specialty society), payer-specific medical policies, peer- reviewed literature, and regulatory requirements, into a cohesive clinical argument demonstrating medical necessity. The appeal letter must directly rebut the payer's denial rationale with supporting evidence. This is not simple rule application (execution) or multi-system coordination (orchestration), but rather evidence synthesis requiring clinical judgment to construct a persuasive case.</w:t>
            </w:r>
          </w:p>
        </w:tc>
        <w:tc>
          <w:tcPr>
            <w:tcW w:type="dxa" w:w="2736"/>
          </w:tcPr>
          <w:p>
            <w:r>
              <w:rPr>
                <w:rFonts w:ascii="Arial" w:hAnsi="Arial"/>
                <w:sz w:val="17"/>
              </w:rPr>
              <w:t>Prior authorization determination (approved/denied/pend) with reference number recorded and patient/provider notified.</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P1</w:t>
            </w:r>
          </w:p>
        </w:tc>
        <w:tc>
          <w:tcPr>
            <w:tcW w:type="dxa" w:w="2016"/>
          </w:tcPr>
          <w:p>
            <w:r>
              <w:rPr>
                <w:rFonts w:ascii="Arial" w:hAnsi="Arial"/>
                <w:sz w:val="17"/>
              </w:rPr>
              <w:t>Provider Performance Scorecard Generation and Distribution</w:t>
            </w:r>
          </w:p>
        </w:tc>
        <w:tc>
          <w:tcPr>
            <w:tcW w:type="dxa" w:w="3600"/>
          </w:tcPr>
          <w:p>
            <w:r>
              <w:rPr>
                <w:rFonts w:ascii="Arial" w:hAnsi="Arial"/>
                <w:sz w:val="17"/>
              </w:rPr>
              <w:t>Multi-step data pipeline orchestrating extraction from claims/EHR warehouses, HEDIS/MIPS measure calculation, peer benchmarking, scorecard rendering, and multi-channel distribution to provider networks</w:t>
            </w:r>
          </w:p>
        </w:tc>
        <w:tc>
          <w:tcPr>
            <w:tcW w:type="dxa" w:w="2736"/>
          </w:tcPr>
          <w:p>
            <w:r>
              <w:rPr>
                <w:rFonts w:ascii="Arial" w:hAnsi="Arial"/>
                <w:sz w:val="17"/>
              </w:rPr>
              <w:t>Finalized provider-facing performance scorecard (PDF/Excel/interactive dashboard) with quality measure rates, cost efficiency metrics, patient experience scores, and peer comparisons distributed through secure provider portal.</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Quality Improvement Project (QIP) Charter and Documentation</w:t>
            </w:r>
          </w:p>
        </w:tc>
        <w:tc>
          <w:tcPr>
            <w:tcW w:type="dxa" w:w="3600"/>
          </w:tcPr>
          <w:p>
            <w:r>
              <w:rPr>
                <w:rFonts w:ascii="Arial" w:hAnsi="Arial"/>
                <w:sz w:val="17"/>
              </w:rPr>
              <w:t>Requires synthesis of multiple data streams (clinical quality measures, incident reports, patient satisfaction data, benchmarking data, literature evidence) into a coherent project charter that defines the problem, establishes measurable aims, identifies a measurement strategy, and outlines a structured improvement approach; the charter must align organizational priorities with evidence-based improvement opportunities and secure stakeholder buy-in; does not rise to adjudication because the improvement methodology framework (IHI Model for Improvement, PDSA) provides established decision structures</w:t>
            </w:r>
          </w:p>
        </w:tc>
        <w:tc>
          <w:tcPr>
            <w:tcW w:type="dxa" w:w="2736"/>
          </w:tcPr>
          <w:p>
            <w:r>
              <w:rPr>
                <w:rFonts w:ascii="Arial" w:hAnsi="Arial"/>
                <w:sz w:val="17"/>
              </w:rPr>
              <w:t>Formal QIP charter document with problem statement, aim statement, baseline data, improvement methodology (PDSA/DMAIC), team roster, timeline, success metrics, and executive sponsor approval.</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Regulatory Compliance Training Development and Tracking</w:t>
            </w:r>
          </w:p>
        </w:tc>
        <w:tc>
          <w:tcPr>
            <w:tcW w:type="dxa" w:w="3600"/>
          </w:tcPr>
          <w:p>
            <w:r>
              <w:rPr>
                <w:rFonts w:ascii="Arial" w:hAnsi="Arial"/>
                <w:sz w:val="17"/>
              </w:rPr>
              <w:t>Requires coordinating across multiple regulatory domains (HIPAA, OSHA, CMS, Joint Commission, state-specific requirements), multiple stakeholder groups (clinical, administrative, billing, executive), and multiple delivery channels (eLearning, instructor-led, webcast). The compliance officer must orchestrate content development, subject matter expert review, LMS configuration, tracking, and reporting across the entire organization.</w:t>
            </w:r>
          </w:p>
        </w:tc>
        <w:tc>
          <w:tcPr>
            <w:tcW w:type="dxa" w:w="2736"/>
          </w:tcPr>
          <w:p>
            <w:r>
              <w:rPr>
                <w:rFonts w:ascii="Arial" w:hAnsi="Arial"/>
                <w:sz w:val="17"/>
              </w:rPr>
              <w:t>Training curriculum with learning objectives, completed training modules (HIPAA, fraud/abuse, OSHA, etc.), staff completion tracking reports, competency assessment results, and compliance training calendar.</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P1</w:t>
            </w:r>
          </w:p>
        </w:tc>
        <w:tc>
          <w:tcPr>
            <w:tcW w:type="dxa" w:w="2016"/>
          </w:tcPr>
          <w:p>
            <w:r>
              <w:rPr>
                <w:rFonts w:ascii="Arial" w:hAnsi="Arial"/>
                <w:sz w:val="17"/>
              </w:rPr>
              <w:t>SDOH Screening and Community Resource Referral</w:t>
            </w:r>
          </w:p>
        </w:tc>
        <w:tc>
          <w:tcPr>
            <w:tcW w:type="dxa" w:w="3600"/>
          </w:tcPr>
          <w:p>
            <w:r>
              <w:rPr>
                <w:rFonts w:ascii="Arial" w:hAnsi="Arial"/>
                <w:sz w:val="17"/>
              </w:rPr>
              <w:t>Multi-step coordination across screening administration, EHR documentation, ICD-10 Z-code assignment, resource matching, referral generation, and closed-loop follow-up with community organizations</w:t>
            </w:r>
          </w:p>
        </w:tc>
        <w:tc>
          <w:tcPr>
            <w:tcW w:type="dxa" w:w="2736"/>
          </w:tcPr>
          <w:p>
            <w:r>
              <w:rPr>
                <w:rFonts w:ascii="Arial" w:hAnsi="Arial"/>
                <w:sz w:val="17"/>
              </w:rPr>
              <w:t>Completed SDOH screening documentation with identified needs, matched community resource referrals, and closed-loop confirmation of referral acceptance and service delivery.</w:t>
            </w:r>
          </w:p>
        </w:tc>
        <w:tc>
          <w:tcPr>
            <w:tcW w:type="dxa" w:w="3600"/>
          </w:tcPr>
          <w:p>
            <w:r>
              <w:rPr>
                <w:rFonts w:ascii="Arial" w:hAnsi="Arial"/>
                <w:sz w:val="17"/>
              </w:rPr>
              <w:t>Include a patient-reported need that conflicts with what's documented in the structured screening tool, so the agent must reconcile narrative and structured data.</w:t>
            </w:r>
          </w:p>
        </w:tc>
        <w:tc>
          <w:tcPr>
            <w:tcW w:type="dxa" w:w="2880"/>
          </w:tcPr>
          <w:p>
            <w:r>
              <w:rPr>
                <w:rFonts w:ascii="Arial" w:hAnsi="Arial"/>
                <w:sz w:val="17"/>
              </w:rPr>
              <w:t>CMS SDOH/Z-code resources: https://www.cms.gov/priorities/health-equity/resources/social-determinants-health | AHA Gravity Project SDOH coding: https://gravityproject.org/</w:t>
            </w:r>
          </w:p>
        </w:tc>
      </w:tr>
      <w:tr>
        <w:tc>
          <w:tcPr>
            <w:tcW w:type="dxa" w:w="792"/>
          </w:tcPr>
          <w:p>
            <w:r>
              <w:rPr>
                <w:rFonts w:ascii="Arial" w:hAnsi="Arial"/>
                <w:b/>
                <w:sz w:val="17"/>
              </w:rPr>
              <w:t>P1</w:t>
            </w:r>
          </w:p>
        </w:tc>
        <w:tc>
          <w:tcPr>
            <w:tcW w:type="dxa" w:w="2016"/>
          </w:tcPr>
          <w:p>
            <w:r>
              <w:rPr>
                <w:rFonts w:ascii="Arial" w:hAnsi="Arial"/>
                <w:sz w:val="17"/>
              </w:rPr>
              <w:t>Telephone Triage</w:t>
            </w:r>
          </w:p>
        </w:tc>
        <w:tc>
          <w:tcPr>
            <w:tcW w:type="dxa" w:w="3600"/>
          </w:tcPr>
          <w:p>
            <w:r>
              <w:rPr>
                <w:rFonts w:ascii="Arial" w:hAnsi="Arial"/>
                <w:sz w:val="17"/>
              </w:rPr>
              <w:t>Requires applying established criteria or standards to specific facts in order to reach a consequential, defensible determination, for Telephone Triage, this means exercising domain expertise to resolve competing interpretations and produce a binding or actionable judgment.</w:t>
            </w:r>
          </w:p>
        </w:tc>
        <w:tc>
          <w:tcPr>
            <w:tcW w:type="dxa" w:w="2736"/>
          </w:tcPr>
          <w:p>
            <w:r>
              <w:rPr>
                <w:rFonts w:ascii="Arial" w:hAnsi="Arial"/>
                <w:sz w:val="17"/>
              </w:rPr>
              <w:t>Telephone Triage Encounter, SOAP Note, Flowsheet of encounter.</w:t>
            </w:r>
          </w:p>
        </w:tc>
        <w:tc>
          <w:tcPr>
            <w:tcW w:type="dxa" w:w="3600"/>
          </w:tcPr>
          <w:p>
            <w:r>
              <w:rPr>
                <w:rFonts w:ascii="Arial" w:hAnsi="Arial"/>
                <w:sz w:val="17"/>
              </w:rPr>
              <w:t>Make the time-sensitivity explicit and load-bearing: include a timestamp-dependent eligibility window (e.g., a treatment window) so correctness depends on the agent tracking elapsed time across the chart, not just recognizing the diagnosis.</w:t>
            </w:r>
          </w:p>
        </w:tc>
        <w:tc>
          <w:tcPr>
            <w:tcW w:type="dxa" w:w="2880"/>
          </w:tcPr>
          <w:p>
            <w:r>
              <w:rPr>
                <w:rFonts w:ascii="Arial" w:hAnsi="Arial"/>
                <w:sz w:val="17"/>
              </w:rPr>
              <w:t>ACEP Clinical Policies: https://www.acep.org/patient-care/clinical-policies/ | American Heart Association/American Stroke Association guidelines: https://www.ahajournals.org/heart-and-stroke-guidelines | Project Sanctum EFM Simulator (OB/GYN, L&amp;D triage): https://kingpascual1992-cmd.github.io/efmsimulatorobgyn/</w:t>
            </w:r>
          </w:p>
        </w:tc>
      </w:tr>
      <w:tr>
        <w:tc>
          <w:tcPr>
            <w:tcW w:type="dxa" w:w="792"/>
          </w:tcPr>
          <w:p>
            <w:r>
              <w:rPr>
                <w:rFonts w:ascii="Arial" w:hAnsi="Arial"/>
                <w:b/>
                <w:sz w:val="17"/>
              </w:rPr>
              <w:t>P1</w:t>
            </w:r>
          </w:p>
        </w:tc>
        <w:tc>
          <w:tcPr>
            <w:tcW w:type="dxa" w:w="2016"/>
          </w:tcPr>
          <w:p>
            <w:r>
              <w:rPr>
                <w:rFonts w:ascii="Arial" w:hAnsi="Arial"/>
                <w:sz w:val="17"/>
              </w:rPr>
              <w:t>Utilization Management - Daily use of MCG and Interqual - using guidelines to direct utilization services</w:t>
            </w:r>
          </w:p>
        </w:tc>
        <w:tc>
          <w:tcPr>
            <w:tcW w:type="dxa" w:w="3600"/>
          </w:tcPr>
          <w:p>
            <w:r>
              <w:rPr>
                <w:rFonts w:ascii="Arial" w:hAnsi="Arial"/>
                <w:sz w:val="17"/>
              </w:rPr>
              <w:t>Requires applying established criteria or standards to specific facts in order to reach a consequential, defensible determination, for Utilization Management - Daily use of MCG and Interqual - using guidelines to direct utilization services, this means exercising domain expertise to resolve competing interpretations and produce a binding or actionable judgment.</w:t>
            </w:r>
          </w:p>
        </w:tc>
        <w:tc>
          <w:tcPr>
            <w:tcW w:type="dxa" w:w="2736"/>
          </w:tcPr>
          <w:p>
            <w:r>
              <w:rPr>
                <w:rFonts w:ascii="Arial" w:hAnsi="Arial"/>
                <w:sz w:val="17"/>
              </w:rPr>
              <w:t>Authorization decision with documented rationale and next review date/conditions for continued approval.</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Annual Wellness Visit Documentation</w:t>
            </w:r>
          </w:p>
        </w:tc>
        <w:tc>
          <w:tcPr>
            <w:tcW w:type="dxa" w:w="3600"/>
          </w:tcPr>
          <w:p>
            <w:r>
              <w:rPr>
                <w:rFonts w:ascii="Arial" w:hAnsi="Arial"/>
                <w:sz w:val="17"/>
              </w:rPr>
              <w:t>AWV documentation requires synthesizing information from multiple structured sources, the Health Risk Assessment questionnaire, patient-reported medical and family history, current medication list, prior visit notes, laboratory results, immunization records, and preventive care gap analysis, into a cohesive documentation package that includes a 5-10 year personalized screening schedule and tailored health counseling. While individual components follow established CMS-defined templates and USPSTF guidelines, the synthesis of patient-specific risk factors into an individualized prevention plan requires professional judgment that exceeds rule-based execution. The clinician must integrate cognitive screening observations, depression screening results, functional assessment findings, and social determinants of health data into actionable recommendations unique to each patient.</w:t>
            </w:r>
          </w:p>
        </w:tc>
        <w:tc>
          <w:tcPr>
            <w:tcW w:type="dxa" w:w="2736"/>
          </w:tcPr>
          <w:p>
            <w:r>
              <w:rPr>
                <w:rFonts w:ascii="Arial" w:hAnsi="Arial"/>
                <w:sz w:val="17"/>
              </w:rPr>
              <w:t>Completed Annual Wellness Visit documentation including personalized prevention plan, updated health risk assessment, screening schedule, advance care planning discussion, cognitive assessment, functional assessment, and appropriate AWV billing code (G0438/G0439).</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P1</w:t>
            </w:r>
          </w:p>
        </w:tc>
        <w:tc>
          <w:tcPr>
            <w:tcW w:type="dxa" w:w="2016"/>
          </w:tcPr>
          <w:p>
            <w:r>
              <w:rPr>
                <w:rFonts w:ascii="Arial" w:hAnsi="Arial"/>
                <w:sz w:val="17"/>
              </w:rPr>
              <w:t>Charge Description Master (CDM) Annual Review and Update</w:t>
            </w:r>
          </w:p>
        </w:tc>
        <w:tc>
          <w:tcPr>
            <w:tcW w:type="dxa" w:w="3600"/>
          </w:tcPr>
          <w:p>
            <w:r>
              <w:rPr>
                <w:rFonts w:ascii="Arial" w:hAnsi="Arial"/>
                <w:sz w:val="17"/>
              </w:rPr>
              <w:t>Requires coordinating across clinical departments, coding teams, compliance, IT, and finance with multi-system updates and cross-functional approval workflows</w:t>
            </w:r>
          </w:p>
        </w:tc>
        <w:tc>
          <w:tcPr>
            <w:tcW w:type="dxa" w:w="2736"/>
          </w:tcPr>
          <w:p>
            <w:r>
              <w:rPr>
                <w:rFonts w:ascii="Arial" w:hAnsi="Arial"/>
                <w:sz w:val="17"/>
              </w:rPr>
              <w:t>Updated CDM file with all code additions, deletions, description changes, and charge amount updates validated against CMS final rule, CPT changes, and payer contract requirements ready for January 1 go-live.</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P1</w:t>
            </w:r>
          </w:p>
        </w:tc>
        <w:tc>
          <w:tcPr>
            <w:tcW w:type="dxa" w:w="2016"/>
          </w:tcPr>
          <w:p>
            <w:r>
              <w:rPr>
                <w:rFonts w:ascii="Arial" w:hAnsi="Arial"/>
                <w:sz w:val="17"/>
              </w:rPr>
              <w:t>Clean Claim Rate Improvement Analysis</w:t>
            </w:r>
          </w:p>
        </w:tc>
        <w:tc>
          <w:tcPr>
            <w:tcW w:type="dxa" w:w="3600"/>
          </w:tcPr>
          <w:p>
            <w:r>
              <w:rPr>
                <w:rFonts w:ascii="Arial" w:hAnsi="Arial"/>
                <w:sz w:val="17"/>
              </w:rPr>
              <w:t>Requires aggregating claims quality data from multiple systems (billing platform, clearinghouse, payer remittances, EHR), performing multi-dimensional analysis across rejection/denial types, payers, service lines, and providers, identifying systemic failure patterns versus one-off errors, correlating upstream process breakdowns with downstream claim failures, and synthesizing findings into a prioritized improvement plan with measurable targets</w:t>
            </w:r>
          </w:p>
        </w:tc>
        <w:tc>
          <w:tcPr>
            <w:tcW w:type="dxa" w:w="2736"/>
          </w:tcPr>
          <w:p>
            <w:r>
              <w:rPr>
                <w:rFonts w:ascii="Arial" w:hAnsi="Arial"/>
                <w:sz w:val="17"/>
              </w:rPr>
              <w:t>Clean claim rate analysis report with current and trended first-pass acceptance rates, top denial/rejection categories by root cause, financial impact quantification, and prioritized corrective action plan targeting upstream process improvements.</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P1</w:t>
            </w:r>
          </w:p>
        </w:tc>
        <w:tc>
          <w:tcPr>
            <w:tcW w:type="dxa" w:w="2016"/>
          </w:tcPr>
          <w:p>
            <w:r>
              <w:rPr>
                <w:rFonts w:ascii="Arial" w:hAnsi="Arial"/>
                <w:sz w:val="17"/>
              </w:rPr>
              <w:t>Medication Order Entry, Modification, and Discontinuation</w:t>
            </w:r>
          </w:p>
        </w:tc>
        <w:tc>
          <w:tcPr>
            <w:tcW w:type="dxa" w:w="3600"/>
          </w:tcPr>
          <w:p>
            <w:r>
              <w:rPr>
                <w:rFonts w:ascii="Arial" w:hAnsi="Arial"/>
                <w:sz w:val="17"/>
              </w:rPr>
              <w:t>Requires performing a defined, repeatable sequence of steps following established protocols with minimal independent judgment, for Medication Order Entry, Modification, and Discontinuation, this means completing structured tasks accurately and efficiently within a predefined system or process.</w:t>
            </w:r>
          </w:p>
        </w:tc>
        <w:tc>
          <w:tcPr>
            <w:tcW w:type="dxa" w:w="2736"/>
          </w:tcPr>
          <w:p>
            <w:r>
              <w:rPr>
                <w:rFonts w:ascii="Arial" w:hAnsi="Arial"/>
                <w:sz w:val="17"/>
              </w:rPr>
              <w:t>Confirmation of medication order entry/modification/discontinuation in the active medication list.</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Imaging Order Entry with Clinical Decision Support Validation</w:t>
            </w:r>
          </w:p>
        </w:tc>
        <w:tc>
          <w:tcPr>
            <w:tcW w:type="dxa" w:w="3600"/>
          </w:tcPr>
          <w:p>
            <w:r>
              <w:rPr>
                <w:rFonts w:ascii="Arial" w:hAnsi="Arial"/>
                <w:sz w:val="17"/>
              </w:rPr>
              <w:t>Requires applying established criteria or standards to specific facts in order to reach a consequential, defensible determination, for Imaging Order Entry with Clinical Decision Support Validation, this means exercising domain expertise to resolve competing interpretations and produce a binding or actionable judgment.</w:t>
            </w:r>
          </w:p>
        </w:tc>
        <w:tc>
          <w:tcPr>
            <w:tcW w:type="dxa" w:w="2736"/>
          </w:tcPr>
          <w:p>
            <w:r>
              <w:rPr>
                <w:rFonts w:ascii="Arial" w:hAnsi="Arial"/>
                <w:sz w:val="17"/>
              </w:rPr>
              <w:t>Confirmation of imaging order in the active order list. Verification and documentation of clinical decisoin support alerts addressed during order entry.</w:t>
            </w:r>
          </w:p>
        </w:tc>
        <w:tc>
          <w:tcPr>
            <w:tcW w:type="dxa" w:w="3600"/>
          </w:tcPr>
          <w:p>
            <w:r>
              <w:rPr>
                <w:rFonts w:ascii="Arial" w:hAnsi="Arial"/>
                <w:sz w:val="17"/>
              </w:rPr>
              <w:t>Reference a finding that requires comparison to a prior study/report (not provided in full, just summarized) so the agent must reason about interval change rather than describe a single snapshot.</w:t>
            </w:r>
          </w:p>
        </w:tc>
        <w:tc>
          <w:tcPr>
            <w:tcW w:type="dxa" w:w="2880"/>
          </w:tcPr>
          <w:p>
            <w:r>
              <w:rPr>
                <w:rFonts w:ascii="Arial" w:hAnsi="Arial"/>
                <w:sz w:val="17"/>
              </w:rPr>
              <w:t>ACR Appropriateness Criteria: https://www.acr.org/Clinical-Resources/ACR-Appropriateness-Criteria | CAP Cancer Protocol Templates: https://www.cap.org/protocols-and-guidelines/cancer-reporting-tools/cancer-protocol-templates | Project Sanctum Radiology Report Simulator: https://med-data-nine.vercel.app/ (tab 2) | Public-domain reference images (metadata scrubbed before use, license verified as public domain or CC BY-SA): NIH, CDC, WHO, Life in the Fast Lane (https://litfl.com/), Radiopaedia (https://radiopaedia.org/)</w:t>
            </w:r>
          </w:p>
        </w:tc>
      </w:tr>
      <w:tr>
        <w:tc>
          <w:tcPr>
            <w:tcW w:type="dxa" w:w="792"/>
          </w:tcPr>
          <w:p>
            <w:r>
              <w:rPr>
                <w:rFonts w:ascii="Arial" w:hAnsi="Arial"/>
                <w:b/>
                <w:sz w:val="17"/>
              </w:rPr>
              <w:t>P1</w:t>
            </w:r>
          </w:p>
        </w:tc>
        <w:tc>
          <w:tcPr>
            <w:tcW w:type="dxa" w:w="2016"/>
          </w:tcPr>
          <w:p>
            <w:r>
              <w:rPr>
                <w:rFonts w:ascii="Arial" w:hAnsi="Arial"/>
                <w:sz w:val="17"/>
              </w:rPr>
              <w:t>Critical Result Acknowledgment and Escalation Workflow</w:t>
            </w:r>
          </w:p>
        </w:tc>
        <w:tc>
          <w:tcPr>
            <w:tcW w:type="dxa" w:w="3600"/>
          </w:tcPr>
          <w:p>
            <w:r>
              <w:rPr>
                <w:rFonts w:ascii="Arial" w:hAnsi="Arial"/>
                <w:sz w:val="17"/>
              </w:rPr>
              <w:t>Requires coordinating multiple stakeholders, systems, or sequential processes toward a defined outcome, for Critical Result Acknowledgment and Escalation Workflow, this means managing handoffs, timelines, and information flows across parties so the workflow reaches completion with all dependencies satisfied.</w:t>
            </w:r>
          </w:p>
        </w:tc>
        <w:tc>
          <w:tcPr>
            <w:tcW w:type="dxa" w:w="2736"/>
          </w:tcPr>
          <w:p>
            <w:r>
              <w:rPr>
                <w:rFonts w:ascii="Arial" w:hAnsi="Arial"/>
                <w:sz w:val="17"/>
              </w:rPr>
              <w:t>Documentation of critical result review and action taken.</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Requires coordinating multiple stakeholders, systems, or sequential processes toward a defined outcome — for Interdisciplinary Care Plan Development and Documentation, this means managing handoffs, timelines, and information flows across parties so the workflow reaches completion with all dependencies satisfied.</w:t>
            </w:r>
          </w:p>
        </w:tc>
        <w:tc>
          <w:tcPr>
            <w:tcW w:type="dxa" w:w="3600"/>
          </w:tcPr>
          <w:p>
            <w:r>
              <w:rPr>
                <w:rFonts w:ascii="Arial" w:hAnsi="Arial"/>
                <w:sz w:val="17"/>
              </w:rPr>
              <w:t>Developing a single coordinated care plan by bringing together input from the full care team (nursing, therapy services, pharmacy, social work, and the attending physician). The plan sets problem-specific goals, assigns responsible parties, and lays out timelines, and it is revised as the patient's status and care needs change.</w:t>
            </w:r>
          </w:p>
        </w:tc>
        <w:tc>
          <w:tcPr>
            <w:tcW w:type="dxa" w:w="2736"/>
          </w:tcPr>
          <w:p>
            <w:r>
              <w:rPr>
                <w:rFonts w:ascii="Arial" w:hAnsi="Arial"/>
                <w:sz w:val="17"/>
              </w:rPr>
              <w:t>An interdisciplinary care plan documented and coordinated across the care team (physicians, nurses, pharmacists, therapists, and social workers), with shared goals, assigned responsibilities, and a defined review schedule.</w:t>
            </w:r>
          </w:p>
        </w:tc>
        <w:tc>
          <w:tcPr>
            <w:tcW w:type="dxa" w:w="3600"/>
          </w:tcPr>
          <w:p>
            <w:r>
              <w:rPr>
                <w:rFonts w:ascii="Arial" w:hAnsi="Arial"/>
                <w:sz w:val="17"/>
              </w:rPr>
              <w:t>Add a guideline conflict between two conditions (e.g., a medication indicated for one chronic condition but relatively contraindicated for another the same patient has) so the agent must reconcile competing recommendations.</w:t>
            </w:r>
          </w:p>
        </w:tc>
        <w:tc>
          <w:tcPr>
            <w:tcW w:type="dxa" w:w="2880"/>
          </w:tcPr>
          <w:p>
            <w:r>
              <w:rPr>
                <w:rFonts w:ascii="Arial" w:hAnsi="Arial"/>
                <w:sz w:val="17"/>
              </w:rPr>
              <w:t>CDC chronic disease guidelines hub: https://www.cdc.gov/chronicdisease/ | Specialty society guideline pages (e.g., ACC/AHA, ADA) as relevant to the specific condition pair</w:t>
            </w:r>
          </w:p>
        </w:tc>
      </w:tr>
      <w:tr>
        <w:tc>
          <w:tcPr>
            <w:tcW w:type="dxa" w:w="792"/>
          </w:tcPr>
          <w:p>
            <w:r>
              <w:rPr>
                <w:rFonts w:ascii="Arial" w:hAnsi="Arial"/>
                <w:b/>
                <w:sz w:val="17"/>
              </w:rPr>
              <w:t>P1</w:t>
            </w:r>
          </w:p>
        </w:tc>
        <w:tc>
          <w:tcPr>
            <w:tcW w:type="dxa" w:w="2016"/>
          </w:tcPr>
          <w:p>
            <w:r>
              <w:rPr>
                <w:rFonts w:ascii="Arial" w:hAnsi="Arial"/>
                <w:sz w:val="17"/>
              </w:rPr>
              <w:t>Requires integrating information from multiple disparate sources into a coherent, unified output — for Nursing Shift Handoff and SBAR Documentation, this means transforming raw inputs (records, data, precedents) into a structured document that communicates findings, positions, or recommendations.</w:t>
            </w:r>
          </w:p>
        </w:tc>
        <w:tc>
          <w:tcPr>
            <w:tcW w:type="dxa" w:w="3600"/>
          </w:tcPr>
          <w:p>
            <w:r>
              <w:rPr>
                <w:rFonts w:ascii="Arial" w:hAnsi="Arial"/>
                <w:sz w:val="17"/>
              </w:rPr>
              <w:t>Pulling together the key facts about a patient at shift change and organizing them into a structured SBAR handoff (Situation, Background, Assessment, Recommendation) so the incoming team receives an accurate and complete picture of the patient.</w:t>
            </w:r>
          </w:p>
        </w:tc>
        <w:tc>
          <w:tcPr>
            <w:tcW w:type="dxa" w:w="2736"/>
          </w:tcPr>
          <w:p>
            <w:r>
              <w:rPr>
                <w:rFonts w:ascii="Arial" w:hAnsi="Arial"/>
                <w:sz w:val="17"/>
              </w:rPr>
              <w:t>A completed SBAR shift handoff covering the patient's current situation, relevant background, the clinical assessment, and recommended next steps for the incoming team.</w:t>
            </w:r>
          </w:p>
        </w:tc>
        <w:tc>
          <w:tcPr>
            <w:tcW w:type="dxa" w:w="3600"/>
          </w:tcPr>
          <w:p>
            <w:r>
              <w:rPr>
                <w:rFonts w:ascii="Arial" w:hAnsi="Arial"/>
                <w:sz w:val="17"/>
              </w:rPr>
              <w:t>Embed a piece of information mentioned only in passing earlier in the chart (not in the most recent note) that changes the correct recommendation, testing whether the agent reads the full record rather than the latest entry.</w:t>
            </w:r>
          </w:p>
        </w:tc>
        <w:tc>
          <w:tcPr>
            <w:tcW w:type="dxa" w:w="2880"/>
          </w:tcPr>
          <w:p>
            <w:r>
              <w:rPr>
                <w:rFonts w:ascii="Arial" w:hAnsi="Arial"/>
                <w:sz w:val="17"/>
              </w:rPr>
              <w:t>Joint Commission National Patient Safety Goals: https://www.jointcommission.org/standards/national-patient-safety-goals/ | AHRQ SBAR resources: https://www.ahrq.gov/teamstepps-program/curriculum/communication/index.html</w:t>
            </w:r>
          </w:p>
        </w:tc>
      </w:tr>
      <w:tr>
        <w:tc>
          <w:tcPr>
            <w:tcW w:type="dxa" w:w="792"/>
          </w:tcPr>
          <w:p>
            <w:r>
              <w:rPr>
                <w:rFonts w:ascii="Arial" w:hAnsi="Arial"/>
                <w:b/>
                <w:sz w:val="17"/>
              </w:rPr>
              <w:t>P1</w:t>
            </w:r>
          </w:p>
        </w:tc>
        <w:tc>
          <w:tcPr>
            <w:tcW w:type="dxa" w:w="2016"/>
          </w:tcPr>
          <w:p>
            <w:r>
              <w:rPr>
                <w:rFonts w:ascii="Arial" w:hAnsi="Arial"/>
                <w:sz w:val="17"/>
              </w:rPr>
              <w:t>Nursing Shift Handoff and SBAR Documentation</w:t>
            </w:r>
          </w:p>
        </w:tc>
        <w:tc>
          <w:tcPr>
            <w:tcW w:type="dxa" w:w="3600"/>
          </w:tcPr>
          <w:p>
            <w:r>
              <w:rPr>
                <w:rFonts w:ascii="Arial" w:hAnsi="Arial"/>
                <w:sz w:val="17"/>
              </w:rPr>
              <w:t>Pulling together the key facts about a patient at shift change and organizing them into a structured SBAR handoff (Situation, Background, Assessment, Recommendation) so the incoming team receives an accurate and complete picture of the patient.</w:t>
            </w:r>
          </w:p>
        </w:tc>
        <w:tc>
          <w:tcPr>
            <w:tcW w:type="dxa" w:w="2736"/>
          </w:tcPr>
          <w:p>
            <w:r>
              <w:rPr>
                <w:rFonts w:ascii="Arial" w:hAnsi="Arial"/>
                <w:sz w:val="17"/>
              </w:rPr>
              <w:t>Documentation of the patient's illness severity, demographics, diagnosis, clinical status, action lists, contingency plans, medications, allergies, code status, recent vital signs and recent lab results.</w:t>
            </w:r>
          </w:p>
        </w:tc>
        <w:tc>
          <w:tcPr>
            <w:tcW w:type="dxa" w:w="3600"/>
          </w:tcPr>
          <w:p>
            <w:r>
              <w:rPr>
                <w:rFonts w:ascii="Arial" w:hAnsi="Arial"/>
                <w:sz w:val="17"/>
              </w:rPr>
              <w:t>Embed a piece of information mentioned only in passing earlier in the chart (not in the most recent note) that changes the correct recommendation, testing whether the agent reads the full record rather than the latest entry.</w:t>
            </w:r>
          </w:p>
        </w:tc>
        <w:tc>
          <w:tcPr>
            <w:tcW w:type="dxa" w:w="2880"/>
          </w:tcPr>
          <w:p>
            <w:r>
              <w:rPr>
                <w:rFonts w:ascii="Arial" w:hAnsi="Arial"/>
                <w:sz w:val="17"/>
              </w:rPr>
              <w:t>Joint Commission National Patient Safety Goals: https://www.jointcommission.org/standards/national-patient-safety-goals/ | AHRQ SBAR resources: https://www.ahrq.gov/teamstepps-program/curriculum/communication/index.html</w:t>
            </w:r>
          </w:p>
        </w:tc>
      </w:tr>
      <w:tr>
        <w:tc>
          <w:tcPr>
            <w:tcW w:type="dxa" w:w="792"/>
          </w:tcPr>
          <w:p>
            <w:r>
              <w:rPr>
                <w:rFonts w:ascii="Arial" w:hAnsi="Arial"/>
                <w:b/>
                <w:sz w:val="17"/>
              </w:rPr>
              <w:t>P1</w:t>
            </w:r>
          </w:p>
        </w:tc>
        <w:tc>
          <w:tcPr>
            <w:tcW w:type="dxa" w:w="2016"/>
          </w:tcPr>
          <w:p>
            <w:r>
              <w:rPr>
                <w:rFonts w:ascii="Arial" w:hAnsi="Arial"/>
                <w:sz w:val="17"/>
              </w:rPr>
              <w:t>Wound Assessment and Skin Care Plan Documentation</w:t>
            </w:r>
          </w:p>
        </w:tc>
        <w:tc>
          <w:tcPr>
            <w:tcW w:type="dxa" w:w="3600"/>
          </w:tcPr>
          <w:p>
            <w:r>
              <w:rPr>
                <w:rFonts w:ascii="Arial" w:hAnsi="Arial"/>
                <w:sz w:val="17"/>
              </w:rPr>
              <w:t>Requires integrating information from multiple disparate sources into a coherent, unified output, for Wound Assessment and Skin Care Plan Documentation, this means transforming raw inputs (records, data, precedents) into a structured document that communicates findings, positions, or recommendations.</w:t>
            </w:r>
          </w:p>
        </w:tc>
        <w:tc>
          <w:tcPr>
            <w:tcW w:type="dxa" w:w="2736"/>
          </w:tcPr>
          <w:p>
            <w:r>
              <w:rPr>
                <w:rFonts w:ascii="Arial" w:hAnsi="Arial"/>
                <w:sz w:val="17"/>
              </w:rPr>
              <w:t>Documentation of structured wound assessment, skin integrity risk, photgraphs of wound, and care plan.</w:t>
            </w:r>
          </w:p>
        </w:tc>
        <w:tc>
          <w:tcPr>
            <w:tcW w:type="dxa" w:w="3600"/>
          </w:tcPr>
          <w:p>
            <w:r>
              <w:rPr>
                <w:rFonts w:ascii="Arial" w:hAnsi="Arial"/>
                <w:sz w:val="17"/>
              </w:rPr>
              <w:t>Add a guideline conflict between two conditions (e.g., a medication indicated for one chronic condition but relatively contraindicated for another the same patient has) so the agent must reconcile competing recommendations.</w:t>
            </w:r>
          </w:p>
        </w:tc>
        <w:tc>
          <w:tcPr>
            <w:tcW w:type="dxa" w:w="2880"/>
          </w:tcPr>
          <w:p>
            <w:r>
              <w:rPr>
                <w:rFonts w:ascii="Arial" w:hAnsi="Arial"/>
                <w:sz w:val="17"/>
              </w:rPr>
              <w:t>CDC chronic disease guidelines hub: https://www.cdc.gov/chronicdisease/ | Specialty society guideline pages (e.g., ACC/AHA, ADA) as relevant to the specific condition pair</w:t>
            </w:r>
          </w:p>
        </w:tc>
      </w:tr>
      <w:tr>
        <w:tc>
          <w:tcPr>
            <w:tcW w:type="dxa" w:w="792"/>
          </w:tcPr>
          <w:p>
            <w:r>
              <w:rPr>
                <w:rFonts w:ascii="Arial" w:hAnsi="Arial"/>
                <w:b/>
                <w:sz w:val="17"/>
              </w:rPr>
              <w:t>P1</w:t>
            </w:r>
          </w:p>
        </w:tc>
        <w:tc>
          <w:tcPr>
            <w:tcW w:type="dxa" w:w="2016"/>
          </w:tcPr>
          <w:p>
            <w:r>
              <w:rPr>
                <w:rFonts w:ascii="Arial" w:hAnsi="Arial"/>
                <w:sz w:val="17"/>
              </w:rPr>
              <w:t>Fall Risk Assessment and Prevention Bundle Documentation</w:t>
            </w:r>
          </w:p>
        </w:tc>
        <w:tc>
          <w:tcPr>
            <w:tcW w:type="dxa" w:w="3600"/>
          </w:tcPr>
          <w:p>
            <w:r>
              <w:rPr>
                <w:rFonts w:ascii="Arial" w:hAnsi="Arial"/>
                <w:sz w:val="17"/>
              </w:rPr>
              <w:t>Requires applying established criteria or standards to specific facts in order to reach a consequential, defensible determination, for Fall Risk Assessment and Prevention Bundle Documentation, this means exercising domain expertise to resolve competing interpretations and produce a binding or actionable judgment.</w:t>
            </w:r>
          </w:p>
        </w:tc>
        <w:tc>
          <w:tcPr>
            <w:tcW w:type="dxa" w:w="2736"/>
          </w:tcPr>
          <w:p>
            <w:r>
              <w:rPr>
                <w:rFonts w:ascii="Arial" w:hAnsi="Arial"/>
                <w:sz w:val="17"/>
              </w:rPr>
              <w:t>Documentation of fall risk score and stratification from a validated assessment tool, multifactorial risk factor assessment, and individualized fall prevention care plan.</w:t>
            </w:r>
          </w:p>
        </w:tc>
        <w:tc>
          <w:tcPr>
            <w:tcW w:type="dxa" w:w="3600"/>
          </w:tcPr>
          <w:p>
            <w:r>
              <w:rPr>
                <w:rFonts w:ascii="Arial" w:hAnsi="Arial"/>
                <w:sz w:val="17"/>
              </w:rPr>
              <w:t>Add conflicting risk-factor data points (e.g., improved mobility score but new high-risk medication) so the correct risk stratification requires weighing, not just summing checklist items.</w:t>
            </w:r>
          </w:p>
        </w:tc>
        <w:tc>
          <w:tcPr>
            <w:tcW w:type="dxa" w:w="2880"/>
          </w:tcPr>
          <w:p>
            <w:r>
              <w:rPr>
                <w:rFonts w:ascii="Arial" w:hAnsi="Arial"/>
                <w:sz w:val="17"/>
              </w:rPr>
              <w:t>AHRQ Fall Prevention Toolkit: https://www.ahrq.gov/patient-safety/settings/hospital/fall-prevention/index.html | National Pressure Injury Advisory Panel: https://npiap.com/</w:t>
            </w:r>
          </w:p>
        </w:tc>
      </w:tr>
      <w:tr>
        <w:tc>
          <w:tcPr>
            <w:tcW w:type="dxa" w:w="792"/>
          </w:tcPr>
          <w:p>
            <w:r>
              <w:rPr>
                <w:rFonts w:ascii="Arial" w:hAnsi="Arial"/>
                <w:b/>
                <w:sz w:val="17"/>
              </w:rPr>
              <w:t>P1</w:t>
            </w:r>
          </w:p>
        </w:tc>
        <w:tc>
          <w:tcPr>
            <w:tcW w:type="dxa" w:w="2016"/>
          </w:tcPr>
          <w:p>
            <w:r>
              <w:rPr>
                <w:rFonts w:ascii="Arial" w:hAnsi="Arial"/>
                <w:sz w:val="17"/>
              </w:rPr>
              <w:t>Anesthesia Pre-Operative Assessment and Intraoperative Documentation</w:t>
            </w:r>
          </w:p>
        </w:tc>
        <w:tc>
          <w:tcPr>
            <w:tcW w:type="dxa" w:w="3600"/>
          </w:tcPr>
          <w:p>
            <w:r>
              <w:rPr>
                <w:rFonts w:ascii="Arial" w:hAnsi="Arial"/>
                <w:sz w:val="17"/>
              </w:rPr>
              <w:t>Requires integrating information from multiple disparate sources into a coherent, unified output, for Anesthesia Pre-Operative Assessment and Intraoperative Documentation, this means transforming raw inputs (records, data, precedents) into a structured document that communicates findings, positions, or recommendations.</w:t>
            </w:r>
          </w:p>
        </w:tc>
        <w:tc>
          <w:tcPr>
            <w:tcW w:type="dxa" w:w="2736"/>
          </w:tcPr>
          <w:p>
            <w:r>
              <w:rPr>
                <w:rFonts w:ascii="Arial" w:hAnsi="Arial"/>
                <w:sz w:val="17"/>
              </w:rPr>
              <w:t>Completion of the pre-anesthesia evaluation note and intraoperative anesthesia record.</w:t>
            </w:r>
          </w:p>
        </w:tc>
        <w:tc>
          <w:tcPr>
            <w:tcW w:type="dxa" w:w="3600"/>
          </w:tcPr>
          <w:p>
            <w:r>
              <w:rPr>
                <w:rFonts w:ascii="Arial" w:hAnsi="Arial"/>
                <w:sz w:val="17"/>
              </w:rPr>
              <w:t>Reference an intraoperative finding that should change the documented plan but is easy to overlook amid procedural detail, testing whether the agent surfaces clinically significant findings.</w:t>
            </w:r>
          </w:p>
        </w:tc>
        <w:tc>
          <w:tcPr>
            <w:tcW w:type="dxa" w:w="2880"/>
          </w:tcPr>
          <w:p>
            <w:r>
              <w:rPr>
                <w:rFonts w:ascii="Arial" w:hAnsi="Arial"/>
                <w:sz w:val="17"/>
              </w:rPr>
              <w:t>ASA Standards for Pre-Anesthesia Care: https://www.asahq.org/standards-and-practice-parameters | ACS National Surgical Quality Improvement Program: https://www.facs.org/quality-programs/acs-nsqip/</w:t>
            </w:r>
          </w:p>
        </w:tc>
      </w:tr>
      <w:tr>
        <w:tc>
          <w:tcPr>
            <w:tcW w:type="dxa" w:w="792"/>
          </w:tcPr>
          <w:p>
            <w:r>
              <w:rPr>
                <w:rFonts w:ascii="Arial" w:hAnsi="Arial"/>
                <w:b/>
                <w:sz w:val="17"/>
              </w:rPr>
              <w:t>P1</w:t>
            </w:r>
          </w:p>
        </w:tc>
        <w:tc>
          <w:tcPr>
            <w:tcW w:type="dxa" w:w="2016"/>
          </w:tcPr>
          <w:p>
            <w:r>
              <w:rPr>
                <w:rFonts w:ascii="Arial" w:hAnsi="Arial"/>
                <w:sz w:val="17"/>
              </w:rPr>
              <w:t>Referral Intake, Triage, and Scheduling Coordination</w:t>
            </w:r>
          </w:p>
        </w:tc>
        <w:tc>
          <w:tcPr>
            <w:tcW w:type="dxa" w:w="3600"/>
          </w:tcPr>
          <w:p>
            <w:r>
              <w:rPr>
                <w:rFonts w:ascii="Arial" w:hAnsi="Arial"/>
                <w:sz w:val="17"/>
              </w:rPr>
              <w:t>Requires coordinating multiple stakeholders, systems, or sequential processes toward a defined outcome, for Referral Intake, Triage, and Scheduling Coordination, this means managing handoffs, timelines, and information flows across parties so the workflow reaches completion with all dependencies satisfied.</w:t>
            </w:r>
          </w:p>
        </w:tc>
        <w:tc>
          <w:tcPr>
            <w:tcW w:type="dxa" w:w="2736"/>
          </w:tcPr>
          <w:p>
            <w:r>
              <w:rPr>
                <w:rFonts w:ascii="Arial" w:hAnsi="Arial"/>
                <w:sz w:val="17"/>
              </w:rPr>
              <w:t>Verify patient demographics and insurance eligibility and coverage for services, Assess need for appointment and urgency based on previous nursing/visit notes, orders and problem list, Verify necessary labs or imaging done prior to scheduling, Schedule appointment based on patient preference and open time slots in scheduling software for provider based on visit type.</w:t>
            </w:r>
          </w:p>
        </w:tc>
        <w:tc>
          <w:tcPr>
            <w:tcW w:type="dxa" w:w="3600"/>
          </w:tcPr>
          <w:p>
            <w:r>
              <w:rPr>
                <w:rFonts w:ascii="Arial" w:hAnsi="Arial"/>
                <w:sz w:val="17"/>
              </w:rPr>
              <w:t>Make the time-sensitivity explicit and load-bearing: include a timestamp-dependent eligibility window (e.g., a treatment window) so correctness depends on the agent tracking elapsed time across the chart, not just recognizing the diagnosis.</w:t>
            </w:r>
          </w:p>
        </w:tc>
        <w:tc>
          <w:tcPr>
            <w:tcW w:type="dxa" w:w="2880"/>
          </w:tcPr>
          <w:p>
            <w:r>
              <w:rPr>
                <w:rFonts w:ascii="Arial" w:hAnsi="Arial"/>
                <w:sz w:val="17"/>
              </w:rPr>
              <w:t>ACEP Clinical Policies: https://www.acep.org/patient-care/clinical-policies/ | American Heart Association/American Stroke Association guidelines: https://www.ahajournals.org/heart-and-stroke-guidelines | Project Sanctum EFM Simulator (OB/GYN, L&amp;D triage): https://kingpascual1992-cmd.github.io/efmsimulatorobgyn/</w:t>
            </w:r>
          </w:p>
        </w:tc>
      </w:tr>
      <w:tr>
        <w:tc>
          <w:tcPr>
            <w:tcW w:type="dxa" w:w="792"/>
          </w:tcPr>
          <w:p>
            <w:r>
              <w:rPr>
                <w:rFonts w:ascii="Arial" w:hAnsi="Arial"/>
                <w:b/>
                <w:sz w:val="17"/>
              </w:rPr>
              <w:t>P1</w:t>
            </w:r>
          </w:p>
        </w:tc>
        <w:tc>
          <w:tcPr>
            <w:tcW w:type="dxa" w:w="2016"/>
          </w:tcPr>
          <w:p>
            <w:r>
              <w:rPr>
                <w:rFonts w:ascii="Arial" w:hAnsi="Arial"/>
                <w:sz w:val="17"/>
              </w:rPr>
              <w:t>Patient Registration and Insurance Verification Workflow</w:t>
            </w:r>
          </w:p>
        </w:tc>
        <w:tc>
          <w:tcPr>
            <w:tcW w:type="dxa" w:w="3600"/>
          </w:tcPr>
          <w:p>
            <w:r>
              <w:rPr>
                <w:rFonts w:ascii="Arial" w:hAnsi="Arial"/>
                <w:sz w:val="17"/>
              </w:rPr>
              <w:t>Requires performing a defined, repeatable sequence of steps following established protocols with minimal independent judgment, for Patient Registration and Insurance Verification Workflow, this means completing structured tasks accurately and efficiently within a predefined system or process.</w:t>
            </w:r>
          </w:p>
        </w:tc>
        <w:tc>
          <w:tcPr>
            <w:tcW w:type="dxa" w:w="2736"/>
          </w:tcPr>
          <w:p>
            <w:r>
              <w:rPr>
                <w:rFonts w:ascii="Arial" w:hAnsi="Arial"/>
                <w:sz w:val="17"/>
              </w:rPr>
              <w:t>Confirmed eligibility foer services, prior authorization approvals/denials, validated co-pay or deductible amounts, clean claim data for faster claim submission and payments, clear patient responsibility of financial amounts for procedures, surgeries, and level of care needed (outpatient vs inpatient), documented verification of records to reduce and eliminate fraud, waste, abuse, explanation of benefits, verified patient demographics and insurance benefits, covered/uncovered services that patient will have to pay out of pocket, financially cleared patients that can move throujgh the registration process swiftly</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P1</w:t>
            </w:r>
          </w:p>
        </w:tc>
        <w:tc>
          <w:tcPr>
            <w:tcW w:type="dxa" w:w="2016"/>
          </w:tcPr>
          <w:p>
            <w:r>
              <w:rPr>
                <w:rFonts w:ascii="Arial" w:hAnsi="Arial"/>
                <w:sz w:val="17"/>
              </w:rPr>
              <w:t>Prior Authorization Clinical Review and Medical Necessity Determination</w:t>
            </w:r>
          </w:p>
        </w:tc>
        <w:tc>
          <w:tcPr>
            <w:tcW w:type="dxa" w:w="3600"/>
          </w:tcPr>
          <w:p>
            <w:r>
              <w:rPr>
                <w:rFonts w:ascii="Arial" w:hAnsi="Arial"/>
                <w:sz w:val="17"/>
              </w:rPr>
              <w:t>Requires applying established criteria or standards to specific facts in order to reach a consequential, defensible determination, for Prior Authorization Clinical Review and Medical Necessity Determination, this means exercising domain expertise to resolve competing interpretations and produce a binding or actionable judgment.</w:t>
            </w:r>
          </w:p>
        </w:tc>
        <w:tc>
          <w:tcPr>
            <w:tcW w:type="dxa" w:w="2736"/>
          </w:tcPr>
          <w:p>
            <w:r>
              <w:rPr>
                <w:rFonts w:ascii="Arial" w:hAnsi="Arial"/>
                <w:sz w:val="17"/>
              </w:rPr>
              <w:t>Documented criteria used to make medical necessity decision regarding preauthorization request and who made the determination and if the request required escalation from the RN to the Medical Director for a decision to be made.If prior auth requested for medications has requirements such as step therapy failure,or prior conservative treatment failure. Some medications require limited quantities or dosage site of care requirements (i.e. hospital or doctor's office, cannot be taken in the home setting). If home health or physical or occupational therapy, the number of sessions within a CY could be capped requiring recertification of the services. The turnaround time or TAT of medical necessity determinations need to be documented based on regulatory compliance/CMS requirements.</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P1</w:t>
            </w:r>
          </w:p>
        </w:tc>
        <w:tc>
          <w:tcPr>
            <w:tcW w:type="dxa" w:w="2016"/>
          </w:tcPr>
          <w:p>
            <w:r>
              <w:rPr>
                <w:rFonts w:ascii="Arial" w:hAnsi="Arial"/>
                <w:sz w:val="17"/>
              </w:rPr>
              <w:t>PHQ-9/GAD-7 Screening Result Review and Follow-Up Planning</w:t>
            </w:r>
          </w:p>
        </w:tc>
        <w:tc>
          <w:tcPr>
            <w:tcW w:type="dxa" w:w="3600"/>
          </w:tcPr>
          <w:p>
            <w:r>
              <w:rPr>
                <w:rFonts w:ascii="Arial" w:hAnsi="Arial"/>
                <w:sz w:val="17"/>
              </w:rPr>
              <w:t>Requires applying established criteria or standards to specific facts in order to reach a consequential, defensible determination, for PHQ-9/GAD-7 Screening Result Review and Follow-Up Planning, this means exercising domain expertise to resolve competing interpretations and produce a binding or actionable judgment.</w:t>
            </w:r>
          </w:p>
        </w:tc>
        <w:tc>
          <w:tcPr>
            <w:tcW w:type="dxa" w:w="2736"/>
          </w:tcPr>
          <w:p>
            <w:r>
              <w:rPr>
                <w:rFonts w:ascii="Arial" w:hAnsi="Arial"/>
                <w:sz w:val="17"/>
              </w:rPr>
              <w:t>Clinical note with embedded SmartLink that pulls PHQ-9/GAD-7 into notes with documentation of follow-up plan.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P1</w:t>
            </w:r>
          </w:p>
        </w:tc>
        <w:tc>
          <w:tcPr>
            <w:tcW w:type="dxa" w:w="2016"/>
          </w:tcPr>
          <w:p>
            <w:r>
              <w:rPr>
                <w:rFonts w:ascii="Arial" w:hAnsi="Arial"/>
                <w:sz w:val="17"/>
              </w:rPr>
              <w:t>Hemodialysis Adequacy Assessment and QAPI Documentation</w:t>
            </w:r>
          </w:p>
        </w:tc>
        <w:tc>
          <w:tcPr>
            <w:tcW w:type="dxa" w:w="3600"/>
          </w:tcPr>
          <w:p>
            <w:r>
              <w:rPr>
                <w:rFonts w:ascii="Arial" w:hAnsi="Arial"/>
                <w:sz w:val="17"/>
              </w:rPr>
              <w:t>Requires integrating information from multiple disparate sources into a coherent, unified output, for Hemodialysis Adequacy Assessment and QAPI Documentation, this means transforming raw inputs (records, data, precedents) into a structured document that communicates findings, positions, or recommendations.</w:t>
            </w:r>
          </w:p>
        </w:tc>
        <w:tc>
          <w:tcPr>
            <w:tcW w:type="dxa" w:w="2736"/>
          </w:tcPr>
          <w:p>
            <w:r>
              <w:rPr>
                <w:rFonts w:ascii="Arial" w:hAnsi="Arial"/>
                <w:sz w:val="17"/>
              </w:rPr>
              <w:t>Hemodialysis adequacy assessment outputs include laboratory results, clinical measurements, and patient-specific reports tracking whether dialysis is achieving treatment goals. QAPI Documentation outputs encompass facility-wide performance metrics (adequacy rates, infections, hospitalizations), quality improvement documents (root cause analyses, corrective action plans), regulatory compliance reports (CMS Quality scores), and benchmarking data comparing the facility to regional and national standards.</w:t>
            </w:r>
          </w:p>
        </w:tc>
        <w:tc>
          <w:tcPr>
            <w:tcW w:type="dxa" w:w="3600"/>
          </w:tcPr>
          <w:p>
            <w:r>
              <w:rPr>
                <w:rFonts w:ascii="Arial" w:hAnsi="Arial"/>
                <w:sz w:val="17"/>
              </w:rPr>
              <w:t>Add a borderline readiness-to-wean or escalation scenario where two protocol criteria point in different directions, requiring the agent to weigh and justify a judgment call.</w:t>
            </w:r>
          </w:p>
        </w:tc>
        <w:tc>
          <w:tcPr>
            <w:tcW w:type="dxa" w:w="2880"/>
          </w:tcPr>
          <w:p>
            <w:r>
              <w:rPr>
                <w:rFonts w:ascii="Arial" w:hAnsi="Arial"/>
                <w:sz w:val="17"/>
              </w:rPr>
              <w:t>Society of Critical Care Medicine guidelines: https://www.sccm.org/Clinical-Resources/Guidelines | ARDSnet protocols: http://www.ardsnet.org/ | Project Sanctum Ventilator Simulators: RT Maven Vent Sim (https://sim.rtmaven.com/) and MedData Vent Sim (https://med-data-nine.vercel.app/, tab 5) | Project Sanctum Live Patient Monitor (HR/BP/SpO2/EtCO2/RR): https://med-data-nine.vercel.app/ (tab 3)</w:t>
            </w:r>
          </w:p>
        </w:tc>
      </w:tr>
      <w:tr>
        <w:tc>
          <w:tcPr>
            <w:tcW w:type="dxa" w:w="792"/>
          </w:tcPr>
          <w:p>
            <w:r>
              <w:rPr>
                <w:rFonts w:ascii="Arial" w:hAnsi="Arial"/>
                <w:b/>
                <w:sz w:val="17"/>
              </w:rPr>
              <w:t>P1</w:t>
            </w:r>
          </w:p>
        </w:tc>
        <w:tc>
          <w:tcPr>
            <w:tcW w:type="dxa" w:w="2016"/>
          </w:tcPr>
          <w:p>
            <w:r>
              <w:rPr>
                <w:rFonts w:ascii="Arial" w:hAnsi="Arial"/>
                <w:sz w:val="17"/>
              </w:rPr>
              <w:t>ICU Daily Goals Documentation and Ventilator Weaning Protocol</w:t>
            </w:r>
          </w:p>
        </w:tc>
        <w:tc>
          <w:tcPr>
            <w:tcW w:type="dxa" w:w="3600"/>
          </w:tcPr>
          <w:p>
            <w:r>
              <w:rPr>
                <w:rFonts w:ascii="Arial" w:hAnsi="Arial"/>
                <w:sz w:val="17"/>
              </w:rPr>
              <w:t>Requires coordinating multiple stakeholders, systems, or sequential processes toward a defined outcome, for ICU Daily Goals Documentation and Ventilator Weaning Protocol, this means managing handoffs, timelines, and information flows across parties so the workflow reaches completion with all dependencies satisfied.</w:t>
            </w:r>
          </w:p>
        </w:tc>
        <w:tc>
          <w:tcPr>
            <w:tcW w:type="dxa" w:w="2736"/>
          </w:tcPr>
          <w:p>
            <w:r>
              <w:rPr>
                <w:rFonts w:ascii="Arial" w:hAnsi="Arial"/>
                <w:sz w:val="17"/>
              </w:rPr>
              <w:t>Documentation of daily care goals, interdisciplinary plan updates (intensivist, nurse, respiratory therapist, clinical pharmacist), sedation and mobility targets, ventilator management adjustments, safety bundle compliance, readiness-to-wean assessments, spontaneous breathing trial results, respiratory parameters, extubation decisions, and ventilator days.</w:t>
            </w:r>
          </w:p>
        </w:tc>
        <w:tc>
          <w:tcPr>
            <w:tcW w:type="dxa" w:w="3600"/>
          </w:tcPr>
          <w:p>
            <w:r>
              <w:rPr>
                <w:rFonts w:ascii="Arial" w:hAnsi="Arial"/>
                <w:sz w:val="17"/>
              </w:rPr>
              <w:t>Add a borderline readiness-to-wean or escalation scenario where two protocol criteria point in different directions, requiring the agent to weigh and justify a judgment call.</w:t>
            </w:r>
          </w:p>
        </w:tc>
        <w:tc>
          <w:tcPr>
            <w:tcW w:type="dxa" w:w="2880"/>
          </w:tcPr>
          <w:p>
            <w:r>
              <w:rPr>
                <w:rFonts w:ascii="Arial" w:hAnsi="Arial"/>
                <w:sz w:val="17"/>
              </w:rPr>
              <w:t>Society of Critical Care Medicine guidelines: https://www.sccm.org/Clinical-Resources/Guidelines | ARDSnet protocols: http://www.ardsnet.org/ | Project Sanctum Ventilator Simulators: RT Maven Vent Sim (https://sim.rtmaven.com/) and MedData Vent Sim (https://med-data-nine.vercel.app/, tab 5) | Project Sanctum Live Patient Monitor (HR/BP/SpO2/EtCO2/RR): https://med-data-nine.vercel.app/ (tab 3)</w:t>
            </w:r>
          </w:p>
        </w:tc>
      </w:tr>
      <w:tr>
        <w:tc>
          <w:tcPr>
            <w:tcW w:type="dxa" w:w="792"/>
          </w:tcPr>
          <w:p>
            <w:r>
              <w:rPr>
                <w:rFonts w:ascii="Arial" w:hAnsi="Arial"/>
                <w:b/>
                <w:sz w:val="17"/>
              </w:rPr>
              <w:t>P1</w:t>
            </w:r>
          </w:p>
        </w:tc>
        <w:tc>
          <w:tcPr>
            <w:tcW w:type="dxa" w:w="2016"/>
          </w:tcPr>
          <w:p>
            <w:r>
              <w:rPr>
                <w:rFonts w:ascii="Arial" w:hAnsi="Arial"/>
                <w:sz w:val="17"/>
              </w:rPr>
              <w:t>Labor and Delivery Triage, Partum Documentation, and Hemorrhage Protocol</w:t>
            </w:r>
          </w:p>
        </w:tc>
        <w:tc>
          <w:tcPr>
            <w:tcW w:type="dxa" w:w="3600"/>
          </w:tcPr>
          <w:p>
            <w:r>
              <w:rPr>
                <w:rFonts w:ascii="Arial" w:hAnsi="Arial"/>
                <w:sz w:val="17"/>
              </w:rPr>
              <w:t>Requires coordinating multiple stakeholders, systems, or sequential processes toward a defined outcome, for Labor and Delivery Triage, Partum Documentation, and Hemorrhage Protocol, this means managing handoffs, timelines, and information flows across parties so the workflow reaches completion with all dependencies satisfied.</w:t>
            </w:r>
          </w:p>
        </w:tc>
        <w:tc>
          <w:tcPr>
            <w:tcW w:type="dxa" w:w="2736"/>
          </w:tcPr>
          <w:p>
            <w:r>
              <w:rPr>
                <w:rFonts w:ascii="Arial" w:hAnsi="Arial"/>
                <w:sz w:val="17"/>
              </w:rPr>
              <w:t>Labor &amp; delivery triage acuity classification (priority levels 1-5) and disposition decisions, partum documentation of labor progress via partographs (graphical tool used to record labor events) with cervical dilation, fetal heart rate monitoring, and delivery summaries, and hemorrhage protocol outputs including quantified blood loss (QBL), hemorrhage stage classification, medication/transfusion records, and intervention documentation</w:t>
            </w:r>
          </w:p>
        </w:tc>
        <w:tc>
          <w:tcPr>
            <w:tcW w:type="dxa" w:w="3600"/>
          </w:tcPr>
          <w:p>
            <w:r>
              <w:rPr>
                <w:rFonts w:ascii="Arial" w:hAnsi="Arial"/>
                <w:sz w:val="17"/>
              </w:rPr>
              <w:t>Make the time-sensitivity explicit and load-bearing: include a timestamp-dependent eligibility window (e.g., a treatment window) so correctness depends on the agent tracking elapsed time across the chart, not just recognizing the diagnosis.</w:t>
            </w:r>
          </w:p>
        </w:tc>
        <w:tc>
          <w:tcPr>
            <w:tcW w:type="dxa" w:w="2880"/>
          </w:tcPr>
          <w:p>
            <w:r>
              <w:rPr>
                <w:rFonts w:ascii="Arial" w:hAnsi="Arial"/>
                <w:sz w:val="17"/>
              </w:rPr>
              <w:t>ACEP Clinical Policies: https://www.acep.org/patient-care/clinical-policies/ | American Heart Association/American Stroke Association guidelines: https://www.ahajournals.org/heart-and-stroke-guidelines | Project Sanctum EFM Simulator (OB/GYN, L&amp;D triage): https://kingpascual1992-cmd.github.io/efmsimulatorobgyn/</w:t>
            </w:r>
          </w:p>
        </w:tc>
      </w:tr>
      <w:tr>
        <w:tc>
          <w:tcPr>
            <w:tcW w:type="dxa" w:w="792"/>
          </w:tcPr>
          <w:p>
            <w:r>
              <w:rPr>
                <w:rFonts w:ascii="Arial" w:hAnsi="Arial"/>
                <w:b/>
                <w:sz w:val="17"/>
              </w:rPr>
              <w:t>P1</w:t>
            </w:r>
          </w:p>
        </w:tc>
        <w:tc>
          <w:tcPr>
            <w:tcW w:type="dxa" w:w="2016"/>
          </w:tcPr>
          <w:p>
            <w:r>
              <w:rPr>
                <w:rFonts w:ascii="Arial" w:hAnsi="Arial"/>
                <w:sz w:val="17"/>
              </w:rPr>
              <w:t>Bed Assignment and Capacity Coordination Management</w:t>
            </w:r>
          </w:p>
        </w:tc>
        <w:tc>
          <w:tcPr>
            <w:tcW w:type="dxa" w:w="3600"/>
          </w:tcPr>
          <w:p>
            <w:r>
              <w:rPr>
                <w:rFonts w:ascii="Arial" w:hAnsi="Arial"/>
                <w:sz w:val="17"/>
              </w:rPr>
              <w:t>Requires coordinating multiple stakeholders, systems, or sequential processes toward a defined outcome, for Bed Assignment and Capacity Coordination Management, this means managing handoffs, timelines, and information flows across parties so the workflow reaches completion with all dependencies satisfied.</w:t>
            </w:r>
          </w:p>
        </w:tc>
        <w:tc>
          <w:tcPr>
            <w:tcW w:type="dxa" w:w="2736"/>
          </w:tcPr>
          <w:p>
            <w:r>
              <w:rPr>
                <w:rFonts w:ascii="Arial" w:hAnsi="Arial"/>
                <w:sz w:val="17"/>
              </w:rPr>
              <w:t>Constant adjustment of room and patient status throughout hospital and outpatient centers for admission. Employee availability and optimization of discharges including room cleaning and turnover. Optimization of areas of hospital that may be unavailable due to staffing.</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P1</w:t>
            </w:r>
          </w:p>
        </w:tc>
        <w:tc>
          <w:tcPr>
            <w:tcW w:type="dxa" w:w="2016"/>
          </w:tcPr>
          <w:p>
            <w:r>
              <w:rPr>
                <w:rFonts w:ascii="Arial" w:hAnsi="Arial"/>
                <w:sz w:val="17"/>
              </w:rPr>
              <w:t>Operating Room Case Scheduling and Block Utilization Management</w:t>
            </w:r>
          </w:p>
        </w:tc>
        <w:tc>
          <w:tcPr>
            <w:tcW w:type="dxa" w:w="3600"/>
          </w:tcPr>
          <w:p>
            <w:r>
              <w:rPr>
                <w:rFonts w:ascii="Arial" w:hAnsi="Arial"/>
                <w:sz w:val="17"/>
              </w:rPr>
              <w:t>Requires coordinating multiple stakeholders, systems, or sequential processes toward a defined outcome, for Operating Room Case Scheduling and Block Utilization Management, this means managing handoffs, timelines, and information flows across parties so the workflow reaches completion with all dependencies satisfied.</w:t>
            </w:r>
          </w:p>
        </w:tc>
        <w:tc>
          <w:tcPr>
            <w:tcW w:type="dxa" w:w="2736"/>
          </w:tcPr>
          <w:p>
            <w:r>
              <w:rPr>
                <w:rFonts w:ascii="Arial" w:hAnsi="Arial"/>
                <w:sz w:val="17"/>
              </w:rPr>
              <w:t>An updated operating room schedule with block time allocated and utilization tracked, including case bookings, room and time assignments, and reallocation of unused block time.</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P1</w:t>
            </w:r>
          </w:p>
        </w:tc>
        <w:tc>
          <w:tcPr>
            <w:tcW w:type="dxa" w:w="2016"/>
          </w:tcPr>
          <w:p>
            <w:r>
              <w:rPr>
                <w:rFonts w:ascii="Arial" w:hAnsi="Arial"/>
                <w:sz w:val="17"/>
              </w:rPr>
              <w:t>High-Risk Patient Outreach and Care Escalation Workflow</w:t>
            </w:r>
          </w:p>
        </w:tc>
        <w:tc>
          <w:tcPr>
            <w:tcW w:type="dxa" w:w="3600"/>
          </w:tcPr>
          <w:p>
            <w:r>
              <w:rPr>
                <w:rFonts w:ascii="Arial" w:hAnsi="Arial"/>
                <w:sz w:val="17"/>
              </w:rPr>
              <w:t>Requires coordinating multiple stakeholders, systems, or sequential processes toward a defined outcome, for High-Risk Patient Outreach and Care Escalation Workflow, this means managing handoffs, timelines, and information flows across parties so the workflow reaches completion with all dependencies satisfied.</w:t>
            </w:r>
          </w:p>
        </w:tc>
        <w:tc>
          <w:tcPr>
            <w:tcW w:type="dxa" w:w="2736"/>
          </w:tcPr>
          <w:p>
            <w:r>
              <w:rPr>
                <w:rFonts w:ascii="Arial" w:hAnsi="Arial"/>
                <w:sz w:val="17"/>
              </w:rPr>
              <w:t>Proactive case management outreach and disease management patient education teachings to encourage healthy lifestyle habits to prevent hospital admissions and ER visits. Improved medication adherence in controlling chronic conditions, reduced controllable risk factors (like stopping smoking), healthy eating habits, improved overall disease management progression, reduction in urgent or emergent visits to the hospital, improved ADLs</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P1</w:t>
            </w:r>
          </w:p>
        </w:tc>
        <w:tc>
          <w:tcPr>
            <w:tcW w:type="dxa" w:w="2016"/>
          </w:tcPr>
          <w:p>
            <w:r>
              <w:rPr>
                <w:rFonts w:ascii="Arial" w:hAnsi="Arial"/>
                <w:sz w:val="17"/>
              </w:rPr>
              <w:t>Chemotherapy Regimen Verification and Dose Calculation</w:t>
            </w:r>
          </w:p>
        </w:tc>
        <w:tc>
          <w:tcPr>
            <w:tcW w:type="dxa" w:w="3600"/>
          </w:tcPr>
          <w:p>
            <w:r>
              <w:rPr>
                <w:rFonts w:ascii="Arial" w:hAnsi="Arial"/>
                <w:sz w:val="17"/>
              </w:rPr>
              <w:t>Requires applying established criteria or standards to specific facts in order to reach a consequential, defensible determination, for Chemotherapy Regimen Verification and Dose Calculation, this means exercising domain expertise to resolve competing interpretations and produce a binding or actionable judgment.</w:t>
            </w:r>
          </w:p>
        </w:tc>
        <w:tc>
          <w:tcPr>
            <w:tcW w:type="dxa" w:w="2736"/>
          </w:tcPr>
          <w:p>
            <w:r>
              <w:rPr>
                <w:rFonts w:ascii="Arial" w:hAnsi="Arial"/>
                <w:sz w:val="17"/>
              </w:rPr>
              <w:t>Ensuring that proper dosing is followed, calculated by BSA or weight. Strategy for monitoring vitals and side effects. Ensuring pharmacy has checks in place for dosing and drug interactions/ allergies noted.</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P1</w:t>
            </w:r>
          </w:p>
        </w:tc>
        <w:tc>
          <w:tcPr>
            <w:tcW w:type="dxa" w:w="2016"/>
          </w:tcPr>
          <w:p>
            <w:r>
              <w:rPr>
                <w:rFonts w:ascii="Arial" w:hAnsi="Arial"/>
                <w:sz w:val="17"/>
              </w:rPr>
              <w:t>Patient Risk Stratification and Gap-in-Care Identification</w:t>
            </w:r>
          </w:p>
        </w:tc>
        <w:tc>
          <w:tcPr>
            <w:tcW w:type="dxa" w:w="3600"/>
          </w:tcPr>
          <w:p>
            <w:r>
              <w:rPr>
                <w:rFonts w:ascii="Arial" w:hAnsi="Arial"/>
                <w:sz w:val="17"/>
              </w:rPr>
              <w:t>Requires applying established criteria or standards to specific facts in order to reach a consequential, defensible determination, for Patient Risk Stratification and Gap-in-Care Identification, this means exercising domain expertise to resolve competing interpretations and produce a binding or actionable judgment.</w:t>
            </w:r>
          </w:p>
        </w:tc>
        <w:tc>
          <w:tcPr>
            <w:tcW w:type="dxa" w:w="2736"/>
          </w:tcPr>
          <w:p>
            <w:r>
              <w:rPr>
                <w:rFonts w:ascii="Arial" w:hAnsi="Arial"/>
                <w:sz w:val="17"/>
              </w:rPr>
              <w:t>Creation of population health dashboards, risk stratification dashboards, and patient-level flags/alerts. Creation of population health reports. Secure patient messages to the patient portal with reminders regarding gaps in care. Paient-level alerting within provider workflow regarding patient risks and gaps in care. Care manager dashboard population.</w:t>
            </w:r>
          </w:p>
        </w:tc>
        <w:tc>
          <w:tcPr>
            <w:tcW w:type="dxa" w:w="3600"/>
          </w:tcPr>
          <w:p>
            <w:r>
              <w:rPr>
                <w:rFonts w:ascii="Arial" w:hAnsi="Arial"/>
                <w:sz w:val="17"/>
              </w:rPr>
              <w:t>Include at least one conflicting signal (e.g., good lab control but high utilization, or low clinical complexity but high social risk) so the correct tier requires synthesis rather than a single threshold lookup.</w:t>
            </w:r>
          </w:p>
        </w:tc>
        <w:tc>
          <w:tcPr>
            <w:tcW w:type="dxa" w:w="2880"/>
          </w:tcPr>
          <w:p>
            <w:r>
              <w:rPr>
                <w:rFonts w:ascii="Arial" w:hAnsi="Arial"/>
                <w:sz w:val="17"/>
              </w:rPr>
              <w:t>AHRQ Quality Indicators: https://qualityindicators.ahrq.gov/ | CMS HCC Risk Adjustment models: https://www.cms.gov/medicare/payment/medicare-advantage-rates-statistics/risk-adjustment</w:t>
            </w:r>
          </w:p>
        </w:tc>
      </w:tr>
      <w:tr>
        <w:tc>
          <w:tcPr>
            <w:tcW w:type="dxa" w:w="792"/>
          </w:tcPr>
          <w:p>
            <w:r>
              <w:rPr>
                <w:rFonts w:ascii="Arial" w:hAnsi="Arial"/>
                <w:b/>
                <w:sz w:val="17"/>
              </w:rPr>
              <w:t>P2</w:t>
            </w:r>
          </w:p>
        </w:tc>
        <w:tc>
          <w:tcPr>
            <w:tcW w:type="dxa" w:w="2016"/>
          </w:tcPr>
          <w:p>
            <w:r>
              <w:rPr>
                <w:rFonts w:ascii="Arial" w:hAnsi="Arial"/>
                <w:sz w:val="17"/>
              </w:rPr>
              <w:t>Care Gap Identification and Outreach List Generation</w:t>
            </w:r>
          </w:p>
        </w:tc>
        <w:tc>
          <w:tcPr>
            <w:tcW w:type="dxa" w:w="3600"/>
          </w:tcPr>
          <w:p>
            <w:r>
              <w:rPr>
                <w:rFonts w:ascii="Arial" w:hAnsi="Arial"/>
                <w:sz w:val="17"/>
              </w:rPr>
              <w:t>The population health team must orchestrate data extraction from multiple systems (claims data warehouse, EHR clinical data, pharmacy benefit data, lab results, immunization registries, health risk assessments), apply HEDIS measure logic with denominator/numerator specifications and exclusion criteria to identify open gaps, integrate supplemental data to avoid false-positive gap alerts, perform risk stratification and prioritization to rank patients by clinical urgency and reachability, segment outreach lists by provider panel and preferred communication channel, and distribute actionable worklists to care coordinators and navigators. Requires judgment in resolving data conflicts (e.g., a screening completed at an out-of-network facility not yet reflected in claims), prioritizing limited outreach resources across dozens of measures, and tailoring outreach strategies to health equity considerations and social determinants of health.</w:t>
            </w:r>
          </w:p>
        </w:tc>
        <w:tc>
          <w:tcPr>
            <w:tcW w:type="dxa" w:w="2736"/>
          </w:tcPr>
          <w:p>
            <w:r>
              <w:rPr>
                <w:rFonts w:ascii="Arial" w:hAnsi="Arial"/>
                <w:sz w:val="17"/>
              </w:rPr>
              <w:t>Prioritized patient outreach list identifying individuals with open care gaps (e.g., overdue screenings, missing immunizations, uncontrolled chronic conditions) with recommended interventions and contact preferences for care coordinator follow-up.</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Charge Capture Compliance Audit</w:t>
            </w:r>
          </w:p>
        </w:tc>
        <w:tc>
          <w:tcPr>
            <w:tcW w:type="dxa" w:w="3600"/>
          </w:tcPr>
          <w:p>
            <w:r>
              <w:rPr>
                <w:rFonts w:ascii="Arial" w:hAnsi="Arial"/>
                <w:sz w:val="17"/>
              </w:rPr>
              <w:t>Each sampled claim requires adjudication, comparing clinical documentation against posted charges and billed codes to determine whether the charge is accurate, undercoded, overcoded, missing, or unsupported. The auditor must apply coding guidelines (CPT, ICD-10-CM, HCPCS), regulatory rules (NCCI edits, MUEs, LCD/NCD coverage criteria), and clinical judgment to render a finding on each claim. Unlike the daily reconciliation workflow (orchestration, coordinating across systems), the compliance audit centers on rendering judgment on individual claims and then synthesizing findings into systemic patterns and risk assessments.</w:t>
            </w:r>
          </w:p>
        </w:tc>
        <w:tc>
          <w:tcPr>
            <w:tcW w:type="dxa" w:w="2736"/>
          </w:tcPr>
          <w:p>
            <w:r>
              <w:rPr>
                <w:rFonts w:ascii="Arial" w:hAnsi="Arial"/>
                <w:sz w:val="17"/>
              </w:rPr>
              <w:t>Reconciled charges/charge file ready for claim generation and submission.</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P2</w:t>
            </w:r>
          </w:p>
        </w:tc>
        <w:tc>
          <w:tcPr>
            <w:tcW w:type="dxa" w:w="2016"/>
          </w:tcPr>
          <w:p>
            <w:r>
              <w:rPr>
                <w:rFonts w:ascii="Arial" w:hAnsi="Arial"/>
                <w:sz w:val="17"/>
              </w:rPr>
              <w:t>Clinical Documentation Policy and Template Development</w:t>
            </w:r>
          </w:p>
        </w:tc>
        <w:tc>
          <w:tcPr>
            <w:tcW w:type="dxa" w:w="3600"/>
          </w:tcPr>
          <w:p>
            <w:r>
              <w:rPr>
                <w:rFonts w:ascii="Arial" w:hAnsi="Arial"/>
                <w:sz w:val="17"/>
              </w:rPr>
              <w:t>Integrates regulatory mandates, clinical best practices, EHR system capabilities, organizational standards, and multi-stakeholder input into cohesive policy documents and functional documentation templates</w:t>
            </w:r>
          </w:p>
        </w:tc>
        <w:tc>
          <w:tcPr>
            <w:tcW w:type="dxa" w:w="2736"/>
          </w:tcPr>
          <w:p>
            <w:r>
              <w:rPr>
                <w:rFonts w:ascii="Arial" w:hAnsi="Arial"/>
                <w:sz w:val="17"/>
              </w:rPr>
              <w:t>Updated documentation policies, standardized clinical note templates with required data elements, template approval documentation, physician communication/training materials, and implementation timeline.</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CPT/HCPCS Professional Fee Coding</w:t>
            </w:r>
          </w:p>
        </w:tc>
        <w:tc>
          <w:tcPr>
            <w:tcW w:type="dxa" w:w="3600"/>
          </w:tcPr>
          <w:p>
            <w:r>
              <w:rPr>
                <w:rFonts w:ascii="Arial" w:hAnsi="Arial"/>
                <w:sz w:val="17"/>
              </w:rPr>
              <w:t>Coders must adjudicate the correct code level by weighing clinical documentation against coding guidelines, resolving ambiguities in documentation, applying modifier logic, checking bundling/unbundling rules via NCCI edits, and making judgment calls on E/M levels based on medical decision-making complexity.</w:t>
            </w:r>
          </w:p>
        </w:tc>
        <w:tc>
          <w:tcPr>
            <w:tcW w:type="dxa" w:w="2736"/>
          </w:tcPr>
          <w:p>
            <w:r>
              <w:rPr>
                <w:rFonts w:ascii="Arial" w:hAnsi="Arial"/>
                <w:sz w:val="17"/>
              </w:rPr>
              <w:t>Assigned and validated CPT/HCPCS codes with supporting ICD-10-CM diagnoses, appropriate modifiers, and E/M level selection for professional fee claims, ready for charge capture and billing submission.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Denial Prevention Trending and Root Cause Dashboard</w:t>
            </w:r>
          </w:p>
        </w:tc>
        <w:tc>
          <w:tcPr>
            <w:tcW w:type="dxa" w:w="3600"/>
          </w:tcPr>
          <w:p>
            <w:r>
              <w:rPr>
                <w:rFonts w:ascii="Arial" w:hAnsi="Arial"/>
                <w:sz w:val="17"/>
              </w:rPr>
              <w:t>Requires aggregating denial data from multiple sources (ERA/835 remittances, EHR, billing systems, payer portals), classifying root causes beyond surface-level payer reason codes, performing statistical trending and variance analysis, and synthesizing findings into actionable prevention recommendations that span clinical, coding, authorization, and billing functions</w:t>
            </w:r>
          </w:p>
        </w:tc>
        <w:tc>
          <w:tcPr>
            <w:tcW w:type="dxa" w:w="2736"/>
          </w:tcPr>
          <w:p>
            <w:r>
              <w:rPr>
                <w:rFonts w:ascii="Arial" w:hAnsi="Arial"/>
                <w:sz w:val="17"/>
              </w:rPr>
              <w:t>Denial trending dashboard/report with root causes, financial impact, and recommended corrective actions.</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P2</w:t>
            </w:r>
          </w:p>
        </w:tc>
        <w:tc>
          <w:tcPr>
            <w:tcW w:type="dxa" w:w="2016"/>
          </w:tcPr>
          <w:p>
            <w:r>
              <w:rPr>
                <w:rFonts w:ascii="Arial" w:hAnsi="Arial"/>
                <w:sz w:val="17"/>
              </w:rPr>
              <w:t>Hospital-Acquired Condition (HAC) Reduction Program Data Submission</w:t>
            </w:r>
          </w:p>
        </w:tc>
        <w:tc>
          <w:tcPr>
            <w:tcW w:type="dxa" w:w="3600"/>
          </w:tcPr>
          <w:p>
            <w:r>
              <w:rPr>
                <w:rFonts w:ascii="Arial" w:hAnsi="Arial"/>
                <w:sz w:val="17"/>
              </w:rPr>
              <w:t>Coordinates multiple data streams (NHSN HAI events, denominator data, PSI-90 claims, monthly reporting plans) across clinical and quality departments with quarterly deadlines and annual HSR review cycles</w:t>
            </w:r>
          </w:p>
        </w:tc>
        <w:tc>
          <w:tcPr>
            <w:tcW w:type="dxa" w:w="2736"/>
          </w:tcPr>
          <w:p>
            <w:r>
              <w:rPr>
                <w:rFonts w:ascii="Arial" w:hAnsi="Arial"/>
                <w:sz w:val="17"/>
              </w:rPr>
              <w:t>Confirmed NHSN data submission with validated HAI event reports, denominator summaries, and monthly reporting plan data transmitted to CMS through NHSN-HQR linkage with submission confirmation documentation.</w:t>
            </w:r>
          </w:p>
        </w:tc>
        <w:tc>
          <w:tcPr>
            <w:tcW w:type="dxa" w:w="3600"/>
          </w:tcPr>
          <w:p>
            <w:r>
              <w:rPr>
                <w:rFonts w:ascii="Arial" w:hAnsi="Arial"/>
                <w:sz w:val="17"/>
              </w:rPr>
              <w:t>Provide a case where the outcome looks like a deviation from standard of care at first glance but is clinically justified given patient-specific context buried in the history — tests whether the agent over-flags.</w:t>
            </w:r>
          </w:p>
        </w:tc>
        <w:tc>
          <w:tcPr>
            <w:tcW w:type="dxa" w:w="2880"/>
          </w:tcPr>
          <w:p>
            <w:r>
              <w:rPr>
                <w:rFonts w:ascii="Arial" w:hAnsi="Arial"/>
                <w:sz w:val="17"/>
              </w:rPr>
              <w:t>Joint Commission Sentinel Event Policy: https://www.jointcommission.org/resources/patient-safety-topics/sentinel-event/ | AHRQ Patient Safety Indicators: https://qualityindicators.ahrq.gov/measures/PSI_TechSpec</w:t>
            </w:r>
          </w:p>
        </w:tc>
      </w:tr>
      <w:tr>
        <w:tc>
          <w:tcPr>
            <w:tcW w:type="dxa" w:w="792"/>
          </w:tcPr>
          <w:p>
            <w:r>
              <w:rPr>
                <w:rFonts w:ascii="Arial" w:hAnsi="Arial"/>
                <w:b/>
                <w:sz w:val="17"/>
              </w:rPr>
              <w:t>P2</w:t>
            </w:r>
          </w:p>
        </w:tc>
        <w:tc>
          <w:tcPr>
            <w:tcW w:type="dxa" w:w="2016"/>
          </w:tcPr>
          <w:p>
            <w:r>
              <w:rPr>
                <w:rFonts w:ascii="Arial" w:hAnsi="Arial"/>
                <w:sz w:val="17"/>
              </w:rPr>
              <w:t>Joint Commission Accreditation Survey Preparation</w:t>
            </w:r>
          </w:p>
        </w:tc>
        <w:tc>
          <w:tcPr>
            <w:tcW w:type="dxa" w:w="3600"/>
          </w:tcPr>
          <w:p>
            <w:r>
              <w:rPr>
                <w:rFonts w:ascii="Arial" w:hAnsi="Arial"/>
                <w:sz w:val="17"/>
              </w:rPr>
              <w:t>Requires coordinating multiple parallel workstreams across dozens of departments and hundreds of standards chapters; the accreditation coordinator must orchestrate document reviews, mock tracers, staff education campaigns, environment of care rounds, policy and procedure updates, performance improvement data compilation, and corrective action tracking while synthesizing compliance status across all chapters into an integrated readiness assessment and escalation plan for leadership</w:t>
            </w:r>
          </w:p>
        </w:tc>
        <w:tc>
          <w:tcPr>
            <w:tcW w:type="dxa" w:w="2736"/>
          </w:tcPr>
          <w:p>
            <w:r>
              <w:rPr>
                <w:rFonts w:ascii="Arial" w:hAnsi="Arial"/>
                <w:sz w:val="17"/>
              </w:rPr>
              <w:t>Survey readiness assessment with gap analysis against current Joint Commission standards, mock tracer findings and corrective actions, staff education plan, document organization system, and day-of-survey logistics plan.</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MS-DRG Assignment and Validation</w:t>
            </w:r>
          </w:p>
        </w:tc>
        <w:tc>
          <w:tcPr>
            <w:tcW w:type="dxa" w:w="3600"/>
          </w:tcPr>
          <w:p>
            <w:r>
              <w:rPr>
                <w:rFonts w:ascii="Arial" w:hAnsi="Arial"/>
                <w:sz w:val="17"/>
              </w:rPr>
              <w:t>Coders must adjudicate between competing diagnoses for principal diagnosis selection, determine CC/MCC status of secondary diagnoses, validate POA indicators, and reconcile clinical documentation against coding guidelines when documentation is ambiguous or conflicting.</w:t>
            </w:r>
          </w:p>
        </w:tc>
        <w:tc>
          <w:tcPr>
            <w:tcW w:type="dxa" w:w="2736"/>
          </w:tcPr>
          <w:p>
            <w:r>
              <w:rPr>
                <w:rFonts w:ascii="Arial" w:hAnsi="Arial"/>
                <w:sz w:val="17"/>
              </w:rPr>
              <w:t>Validated MS-DRG assignment with confirmed principal diagnosis, principal procedure, secondary diagnoses (CCs/MCCs), and discharge status, including DRG weight and expected reimbursement with documentation supporting code selections.</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OPPE/FPPE Data Collection and Summary Report</w:t>
            </w:r>
          </w:p>
        </w:tc>
        <w:tc>
          <w:tcPr>
            <w:tcW w:type="dxa" w:w="3600"/>
          </w:tcPr>
          <w:p>
            <w:r>
              <w:rPr>
                <w:rFonts w:ascii="Arial" w:hAnsi="Arial"/>
                <w:sz w:val="17"/>
              </w:rPr>
              <w:t>Requires orchestrating data from 5-10 disparate systems (EHR, quality databases, patient satisfaction surveys, peer review records, credentialing software) into a unified report per provider, then routing for department chief review. The core challenge is multi-source data aggregation and formatting, not novel judgment.</w:t>
            </w:r>
          </w:p>
        </w:tc>
        <w:tc>
          <w:tcPr>
            <w:tcW w:type="dxa" w:w="2736"/>
          </w:tcPr>
          <w:p>
            <w:r>
              <w:rPr>
                <w:rFonts w:ascii="Arial" w:hAnsi="Arial"/>
                <w:sz w:val="17"/>
              </w:rPr>
              <w:t>OPPE/FPPE summary report with provider-specific performance data across six general competency domains, benchmark comparisons, trending analysis, identified concerns, and department chair attestation for medical staff reappointment support.</w:t>
            </w:r>
          </w:p>
        </w:tc>
        <w:tc>
          <w:tcPr>
            <w:tcW w:type="dxa" w:w="3600"/>
          </w:tcPr>
          <w:p>
            <w:r>
              <w:rPr>
                <w:rFonts w:ascii="Arial" w:hAnsi="Arial"/>
                <w:sz w:val="17"/>
              </w:rPr>
              <w:t>Include one primary-source verification result that conflicts with another source (e.g., differing dates of board certification) to test discrepancy resolution rather than simple lookup confirmation.</w:t>
            </w:r>
          </w:p>
        </w:tc>
        <w:tc>
          <w:tcPr>
            <w:tcW w:type="dxa" w:w="2880"/>
          </w:tcPr>
          <w:p>
            <w:r>
              <w:rPr>
                <w:rFonts w:ascii="Arial" w:hAnsi="Arial"/>
                <w:sz w:val="17"/>
              </w:rPr>
              <w:t>NCQA Credentialing Standards: https://www.ncqa.org/programs/health-plans/credentialing-cr/ | NPDB: https://www.npdb.hrsa.gov/ | OIG LEIE exclusion list: https://oig.hhs.gov/exclusions/</w:t>
            </w:r>
          </w:p>
        </w:tc>
      </w:tr>
      <w:tr>
        <w:tc>
          <w:tcPr>
            <w:tcW w:type="dxa" w:w="792"/>
          </w:tcPr>
          <w:p>
            <w:r>
              <w:rPr>
                <w:rFonts w:ascii="Arial" w:hAnsi="Arial"/>
                <w:b/>
                <w:sz w:val="17"/>
              </w:rPr>
              <w:t>P2</w:t>
            </w:r>
          </w:p>
        </w:tc>
        <w:tc>
          <w:tcPr>
            <w:tcW w:type="dxa" w:w="2016"/>
          </w:tcPr>
          <w:p>
            <w:r>
              <w:rPr>
                <w:rFonts w:ascii="Arial" w:hAnsi="Arial"/>
                <w:sz w:val="17"/>
              </w:rPr>
              <w:t>Pathology Report Generation and Digital Pathology Analysis</w:t>
            </w:r>
          </w:p>
        </w:tc>
        <w:tc>
          <w:tcPr>
            <w:tcW w:type="dxa" w:w="3600"/>
          </w:tcPr>
          <w:p>
            <w:r>
              <w:rPr>
                <w:rFonts w:ascii="Arial" w:hAnsi="Arial"/>
                <w:sz w:val="17"/>
              </w:rPr>
              <w:t>The pathologist must integrate gross specimen examination findings, microscopic morphologic pattern recognition across multiple tissue sections and stain types (H&amp;E, special stains, immunohistochemistry), clinical history from the electronic health record, imaging findings, prior pathology reports, relevant molecular and ancillary test results, and evidence-based diagnostic criteria (WHO Classification, AJCC staging, CAP cancer protocols) to synthesize a coherent pathologic diagnosis with prognostic and predictive biomarker assessment; complex cases require differential diagnosis formulation, consultation with subspecialty colleagues, and multidisciplinary tumor board correlation</w:t>
            </w:r>
          </w:p>
        </w:tc>
        <w:tc>
          <w:tcPr>
            <w:tcW w:type="dxa" w:w="2736"/>
          </w:tcPr>
          <w:p>
            <w:r>
              <w:rPr>
                <w:rFonts w:ascii="Arial" w:hAnsi="Arial"/>
                <w:sz w:val="17"/>
              </w:rPr>
              <w:t>Final signed pathology report with gross description, microscopic findings, diagnosis with staging/grading (e.g., TNM classification for tumors), synoptic cancer protocols (CAP templates), and ancillary test interpretations.</w:t>
            </w:r>
          </w:p>
        </w:tc>
        <w:tc>
          <w:tcPr>
            <w:tcW w:type="dxa" w:w="3600"/>
          </w:tcPr>
          <w:p>
            <w:r>
              <w:rPr>
                <w:rFonts w:ascii="Arial" w:hAnsi="Arial"/>
                <w:sz w:val="17"/>
              </w:rPr>
              <w:t>Reference a finding that requires comparison to a prior study/report (not provided in full, just summarized) so the agent must reason about interval change rather than describe a single snapshot.</w:t>
            </w:r>
          </w:p>
        </w:tc>
        <w:tc>
          <w:tcPr>
            <w:tcW w:type="dxa" w:w="2880"/>
          </w:tcPr>
          <w:p>
            <w:r>
              <w:rPr>
                <w:rFonts w:ascii="Arial" w:hAnsi="Arial"/>
                <w:sz w:val="17"/>
              </w:rPr>
              <w:t>ACR Appropriateness Criteria: https://www.acr.org/Clinical-Resources/ACR-Appropriateness-Criteria | CAP Cancer Protocol Templates: https://www.cap.org/protocols-and-guidelines/cancer-reporting-tools/cancer-protocol-templates | Project Sanctum Radiology Report Simulator: https://med-data-nine.vercel.app/ (tab 2) | Public-domain reference images (metadata scrubbed before use, license verified as public domain or CC BY-SA): NIH, CDC, WHO, Life in the Fast Lane (https://litfl.com/), Radiopaedia (https://radiopaedia.org/)</w:t>
            </w:r>
          </w:p>
        </w:tc>
      </w:tr>
      <w:tr>
        <w:tc>
          <w:tcPr>
            <w:tcW w:type="dxa" w:w="792"/>
          </w:tcPr>
          <w:p>
            <w:r>
              <w:rPr>
                <w:rFonts w:ascii="Arial" w:hAnsi="Arial"/>
                <w:b/>
                <w:sz w:val="17"/>
              </w:rPr>
              <w:t>P2</w:t>
            </w:r>
          </w:p>
        </w:tc>
        <w:tc>
          <w:tcPr>
            <w:tcW w:type="dxa" w:w="2016"/>
          </w:tcPr>
          <w:p>
            <w:r>
              <w:rPr>
                <w:rFonts w:ascii="Arial" w:hAnsi="Arial"/>
                <w:sz w:val="17"/>
              </w:rPr>
              <w:t>Patient Safety Indicator (PSI) Analysis and Reporting</w:t>
            </w:r>
          </w:p>
        </w:tc>
        <w:tc>
          <w:tcPr>
            <w:tcW w:type="dxa" w:w="3600"/>
          </w:tcPr>
          <w:p>
            <w:r>
              <w:rPr>
                <w:rFonts w:ascii="Arial" w:hAnsi="Arial"/>
                <w:sz w:val="17"/>
              </w:rPr>
              <w:t>Requires integrating discharge data from clinical and billing systems, applying standardized AHRQ algorithms to compute risk-adjusted PSI rates across 10+ individual indicators and the PSI-90 composite, synthesizing results with peer benchmarks and trend data, and translating statistical outputs into actionable quality improvement narratives for clinical and executive audiences; involves multi-source data integration, statistical computation, comparative analysis, and communication synthesis rather than novel judgment or adjudication between competing interpretations</w:t>
            </w:r>
          </w:p>
        </w:tc>
        <w:tc>
          <w:tcPr>
            <w:tcW w:type="dxa" w:w="2736"/>
          </w:tcPr>
          <w:p>
            <w:r>
              <w:rPr>
                <w:rFonts w:ascii="Arial" w:hAnsi="Arial"/>
                <w:sz w:val="17"/>
              </w:rPr>
              <w:t>PSI rate calculations by indicator (PSI-03, PSI-04, PSI-06, etc.), observed vs. expected ratio analysis, trending reports, case-level drill-down for flagged events, and corrective action tracking for CMS Hospital-Acquired Condition Reduction Program.</w:t>
            </w:r>
          </w:p>
        </w:tc>
        <w:tc>
          <w:tcPr>
            <w:tcW w:type="dxa" w:w="3600"/>
          </w:tcPr>
          <w:p>
            <w:r>
              <w:rPr>
                <w:rFonts w:ascii="Arial" w:hAnsi="Arial"/>
                <w:sz w:val="17"/>
              </w:rPr>
              <w:t>Provide a case where the outcome looks like a deviation from standard of care at first glance but is clinically justified given patient-specific context buried in the history — tests whether the agent over-flags.</w:t>
            </w:r>
          </w:p>
        </w:tc>
        <w:tc>
          <w:tcPr>
            <w:tcW w:type="dxa" w:w="2880"/>
          </w:tcPr>
          <w:p>
            <w:r>
              <w:rPr>
                <w:rFonts w:ascii="Arial" w:hAnsi="Arial"/>
                <w:sz w:val="17"/>
              </w:rPr>
              <w:t>Joint Commission Sentinel Event Policy: https://www.jointcommission.org/resources/patient-safety-topics/sentinel-event/ | AHRQ Patient Safety Indicators: https://qualityindicators.ahrq.gov/measures/PSI_TechSpec</w:t>
            </w:r>
          </w:p>
        </w:tc>
      </w:tr>
      <w:tr>
        <w:tc>
          <w:tcPr>
            <w:tcW w:type="dxa" w:w="792"/>
          </w:tcPr>
          <w:p>
            <w:r>
              <w:rPr>
                <w:rFonts w:ascii="Arial" w:hAnsi="Arial"/>
                <w:b/>
                <w:sz w:val="17"/>
              </w:rPr>
              <w:t>P2</w:t>
            </w:r>
          </w:p>
        </w:tc>
        <w:tc>
          <w:tcPr>
            <w:tcW w:type="dxa" w:w="2016"/>
          </w:tcPr>
          <w:p>
            <w:r>
              <w:rPr>
                <w:rFonts w:ascii="Arial" w:hAnsi="Arial"/>
                <w:sz w:val="17"/>
              </w:rPr>
              <w:t>Payer Contract Compliance Monitoring Report</w:t>
            </w:r>
          </w:p>
        </w:tc>
        <w:tc>
          <w:tcPr>
            <w:tcW w:type="dxa" w:w="3600"/>
          </w:tcPr>
          <w:p>
            <w:r>
              <w:rPr>
                <w:rFonts w:ascii="Arial" w:hAnsi="Arial"/>
                <w:sz w:val="17"/>
              </w:rPr>
              <w:t>Requires multi-source data aggregation from claims systems, contract databases, and payer remittance files, with analytical judgment to identify meaningful variances versus noise</w:t>
            </w:r>
          </w:p>
        </w:tc>
        <w:tc>
          <w:tcPr>
            <w:tcW w:type="dxa" w:w="2736"/>
          </w:tcPr>
          <w:p>
            <w:r>
              <w:rPr>
                <w:rFonts w:ascii="Arial" w:hAnsi="Arial"/>
                <w:sz w:val="17"/>
              </w:rPr>
              <w:t>Payer contract compliance monitoring report documenting payment accuracy by contract term, identified underpayments with recovery amounts, compliance exceptions, and recommended contract amendment priorities.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Payer Performance Scorecard Development and Reporting</w:t>
            </w:r>
          </w:p>
        </w:tc>
        <w:tc>
          <w:tcPr>
            <w:tcW w:type="dxa" w:w="3600"/>
          </w:tcPr>
          <w:p>
            <w:r>
              <w:rPr>
                <w:rFonts w:ascii="Arial" w:hAnsi="Arial"/>
                <w:sz w:val="17"/>
              </w:rPr>
              <w:t>Requires multi-source data aggregation (claims, remittances, contracts, AR aging), calculation of standardized KPIs per HFMA MAP Keys, cross-payer benchmarking, and narrative synthesis of performance trends into actionable recommendations.</w:t>
            </w:r>
          </w:p>
        </w:tc>
        <w:tc>
          <w:tcPr>
            <w:tcW w:type="dxa" w:w="2736"/>
          </w:tcPr>
          <w:p>
            <w:r>
              <w:rPr>
                <w:rFonts w:ascii="Arial" w:hAnsi="Arial"/>
                <w:sz w:val="17"/>
              </w:rPr>
              <w:t>Payer-specific performance scorecard report with denial rates, payment velocity, contract compliance, collection rates, and trending analysis used for payer negotiation strategy and operational improvement.</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Peer Review Case Analysis</w:t>
            </w:r>
          </w:p>
        </w:tc>
        <w:tc>
          <w:tcPr>
            <w:tcW w:type="dxa" w:w="3600"/>
          </w:tcPr>
          <w:p>
            <w:r>
              <w:rPr>
                <w:rFonts w:ascii="Arial" w:hAnsi="Arial"/>
                <w:sz w:val="17"/>
              </w:rPr>
              <w:t>The physician reviewer must adjudicate whether the clinical care provided met professionally recognized standards by synthesizing the medical record, relevant clinical guidelines, and contextual factors; borderline cases require nuanced judgment about whether deviations from standard of care were clinically justified given the patient's specific circumstances; the reviewer must assign a severity rating, determine degree of harm, and recommend appropriate interventions ranging from no action to removal of privileges</w:t>
            </w:r>
          </w:p>
        </w:tc>
        <w:tc>
          <w:tcPr>
            <w:tcW w:type="dxa" w:w="2736"/>
          </w:tcPr>
          <w:p>
            <w:r>
              <w:rPr>
                <w:rFonts w:ascii="Arial" w:hAnsi="Arial"/>
                <w:sz w:val="17"/>
              </w:rPr>
              <w:t>Peer review determination report with case summary, standard of care analysis, clinical judgment assessment, outcome classification (appropriate care, opportunity for improvement, or deviation from standard), and recommended follow-up actions.</w:t>
            </w:r>
          </w:p>
        </w:tc>
        <w:tc>
          <w:tcPr>
            <w:tcW w:type="dxa" w:w="3600"/>
          </w:tcPr>
          <w:p>
            <w:r>
              <w:rPr>
                <w:rFonts w:ascii="Arial" w:hAnsi="Arial"/>
                <w:sz w:val="17"/>
              </w:rPr>
              <w:t>Provide a case where the outcome looks like a deviation from standard of care at first glance but is clinically justified given patient-specific context buried in the history — tests whether the agent over-flags.</w:t>
            </w:r>
          </w:p>
        </w:tc>
        <w:tc>
          <w:tcPr>
            <w:tcW w:type="dxa" w:w="2880"/>
          </w:tcPr>
          <w:p>
            <w:r>
              <w:rPr>
                <w:rFonts w:ascii="Arial" w:hAnsi="Arial"/>
                <w:sz w:val="17"/>
              </w:rPr>
              <w:t>Joint Commission Sentinel Event Policy: https://www.jointcommission.org/resources/patient-safety-topics/sentinel-event/ | AHRQ Patient Safety Indicators: https://qualityindicators.ahrq.gov/measures/PSI_TechSpec</w:t>
            </w:r>
          </w:p>
        </w:tc>
      </w:tr>
      <w:tr>
        <w:tc>
          <w:tcPr>
            <w:tcW w:type="dxa" w:w="792"/>
          </w:tcPr>
          <w:p>
            <w:r>
              <w:rPr>
                <w:rFonts w:ascii="Arial" w:hAnsi="Arial"/>
                <w:b/>
                <w:sz w:val="17"/>
              </w:rPr>
              <w:t>P2</w:t>
            </w:r>
          </w:p>
        </w:tc>
        <w:tc>
          <w:tcPr>
            <w:tcW w:type="dxa" w:w="2016"/>
          </w:tcPr>
          <w:p>
            <w:r>
              <w:rPr>
                <w:rFonts w:ascii="Arial" w:hAnsi="Arial"/>
                <w:sz w:val="17"/>
              </w:rPr>
              <w:t>Pharmacy Quality Measure Reporting (HEDIS/PDC Adherence)</w:t>
            </w:r>
          </w:p>
        </w:tc>
        <w:tc>
          <w:tcPr>
            <w:tcW w:type="dxa" w:w="3600"/>
          </w:tcPr>
          <w:p>
            <w:r>
              <w:rPr>
                <w:rFonts w:ascii="Arial" w:hAnsi="Arial"/>
                <w:sz w:val="17"/>
              </w:rPr>
              <w:t>Largely rule-based execution following well-defined PQA and NCQA technical specifications. The PDC calculation algorithm is deterministic given clean input data. Judgment is required primarily in data quality resolution (handling overlapping fills, identifying erroneous claims, adjudicating enrollment gaps) and in interpreting specification edge cases. The workflow does not require novel synthesis or strategic decision-making, it executes established measurement protocols.</w:t>
            </w:r>
          </w:p>
        </w:tc>
        <w:tc>
          <w:tcPr>
            <w:tcW w:type="dxa" w:w="2736"/>
          </w:tcPr>
          <w:p>
            <w:r>
              <w:rPr>
                <w:rFonts w:ascii="Arial" w:hAnsi="Arial"/>
                <w:sz w:val="17"/>
              </w:rPr>
              <w:t>PDC adherence reports by medication class (diabetes, RASA, statins), patient-level non-adherent lists for outreach, pharmacy performance dashboards, Star Rating impact analysis, and MTM referral recommendations.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Radiology Report Generation and Interpretation Support</w:t>
            </w:r>
          </w:p>
        </w:tc>
        <w:tc>
          <w:tcPr>
            <w:tcW w:type="dxa" w:w="3600"/>
          </w:tcPr>
          <w:p>
            <w:r>
              <w:rPr>
                <w:rFonts w:ascii="Arial" w:hAnsi="Arial"/>
                <w:sz w:val="17"/>
              </w:rPr>
              <w:t>The radiologist must integrate visual pattern recognition across hundreds of images per study with clinical context from the electronic health record, prior imaging comparison, relevant clinical guidelines (e.g., Fleischner Society, Lung-RADS, BI-RADS), and subspecialty knowledge to synthesize findings into a coherent diagnostic report; complex cases require multi-system correlation, differential diagnosis formulation, and evidence-based management recommendations</w:t>
            </w:r>
          </w:p>
        </w:tc>
        <w:tc>
          <w:tcPr>
            <w:tcW w:type="dxa" w:w="2736"/>
          </w:tcPr>
          <w:p>
            <w:r>
              <w:rPr>
                <w:rFonts w:ascii="Arial" w:hAnsi="Arial"/>
                <w:sz w:val="17"/>
              </w:rPr>
              <w:t>Finalized radiology interpretation report with structured findings, impression, follow-up recommendations using ACR-standardized language, critical result notification documentation, and appropriate follow-up imaging recommendations per ACR guidelines.</w:t>
            </w:r>
          </w:p>
        </w:tc>
        <w:tc>
          <w:tcPr>
            <w:tcW w:type="dxa" w:w="3600"/>
          </w:tcPr>
          <w:p>
            <w:r>
              <w:rPr>
                <w:rFonts w:ascii="Arial" w:hAnsi="Arial"/>
                <w:sz w:val="17"/>
              </w:rPr>
              <w:t>Reference a finding that requires comparison to a prior study/report (not provided in full, just summarized) so the agent must reason about interval change rather than describe a single snapshot.</w:t>
            </w:r>
          </w:p>
        </w:tc>
        <w:tc>
          <w:tcPr>
            <w:tcW w:type="dxa" w:w="2880"/>
          </w:tcPr>
          <w:p>
            <w:r>
              <w:rPr>
                <w:rFonts w:ascii="Arial" w:hAnsi="Arial"/>
                <w:sz w:val="17"/>
              </w:rPr>
              <w:t>ACR Appropriateness Criteria: https://www.acr.org/Clinical-Resources/ACR-Appropriateness-Criteria | CAP Cancer Protocol Templates: https://www.cap.org/protocols-and-guidelines/cancer-reporting-tools/cancer-protocol-templates | Project Sanctum Radiology Report Simulator: https://med-data-nine.vercel.app/ (tab 2) | Public-domain reference images (metadata scrubbed before use, license verified as public domain or CC BY-SA): NIH, CDC, WHO, Life in the Fast Lane (https://litfl.com/), Radiopaedia (https://radiopaedia.org/)</w:t>
            </w:r>
          </w:p>
        </w:tc>
      </w:tr>
      <w:tr>
        <w:tc>
          <w:tcPr>
            <w:tcW w:type="dxa" w:w="792"/>
          </w:tcPr>
          <w:p>
            <w:r>
              <w:rPr>
                <w:rFonts w:ascii="Arial" w:hAnsi="Arial"/>
                <w:b/>
                <w:sz w:val="17"/>
              </w:rPr>
              <w:t>P2</w:t>
            </w:r>
          </w:p>
        </w:tc>
        <w:tc>
          <w:tcPr>
            <w:tcW w:type="dxa" w:w="2016"/>
          </w:tcPr>
          <w:p>
            <w:r>
              <w:rPr>
                <w:rFonts w:ascii="Arial" w:hAnsi="Arial"/>
                <w:sz w:val="17"/>
              </w:rPr>
              <w:t>Revenue Cycle KPI Dashboard and Executive Summary</w:t>
            </w:r>
          </w:p>
        </w:tc>
        <w:tc>
          <w:tcPr>
            <w:tcW w:type="dxa" w:w="3600"/>
          </w:tcPr>
          <w:p>
            <w:r>
              <w:rPr>
                <w:rFonts w:ascii="Arial" w:hAnsi="Arial"/>
                <w:sz w:val="17"/>
              </w:rPr>
              <w:t>Requires integrating data from disparate clinical and financial systems (EHR, billing, clearinghouse, payer portals), calculating standardized KPIs per HFMA MAP Keys methodology, identifying trends and root causes, and synthesizing findings into actionable executive narrative. Not purely mechanical aggregation, interpretation of why metrics shifted and what actions to recommend elevates this beyond execution.</w:t>
            </w:r>
          </w:p>
        </w:tc>
        <w:tc>
          <w:tcPr>
            <w:tcW w:type="dxa" w:w="2736"/>
          </w:tcPr>
          <w:p>
            <w:r>
              <w:rPr>
                <w:rFonts w:ascii="Arial" w:hAnsi="Arial"/>
                <w:sz w:val="17"/>
              </w:rPr>
              <w:t>Executive-ready revenue cycle KPI dashboard with key metrics (Days in AR, Clean Claim Rate, Denial Rate, Net Collection Rate, Cost to Collect) with trending, variance commentary, and action item recommendations.</w:t>
            </w:r>
          </w:p>
        </w:tc>
        <w:tc>
          <w:tcPr>
            <w:tcW w:type="dxa" w:w="3600"/>
          </w:tcPr>
          <w:p>
            <w:r>
              <w:rPr>
                <w:rFonts w:ascii="Arial" w:hAnsi="Arial"/>
                <w:sz w:val="17"/>
              </w:rPr>
              <w:t>Add a recent (post-cutoff) fee schedule or rate change as an attached document so any analysis using old embedded rates becomes detectably wrong if the agent doesn't check the attachment.</w:t>
            </w:r>
          </w:p>
        </w:tc>
        <w:tc>
          <w:tcPr>
            <w:tcW w:type="dxa" w:w="2880"/>
          </w:tcPr>
          <w:p>
            <w:r>
              <w:rPr>
                <w:rFonts w:ascii="Arial" w:hAnsi="Arial"/>
                <w:sz w:val="17"/>
              </w:rPr>
              <w:t>HFMA MAP Keys: https://www.hfma.org/topics/map-keys/ | CMS Fee Schedules: https://www.cms.gov/medicare/payment/fee-schedules</w:t>
            </w:r>
          </w:p>
        </w:tc>
      </w:tr>
      <w:tr>
        <w:tc>
          <w:tcPr>
            <w:tcW w:type="dxa" w:w="792"/>
          </w:tcPr>
          <w:p>
            <w:r>
              <w:rPr>
                <w:rFonts w:ascii="Arial" w:hAnsi="Arial"/>
                <w:b/>
                <w:sz w:val="17"/>
              </w:rPr>
              <w:t>P2</w:t>
            </w:r>
          </w:p>
        </w:tc>
        <w:tc>
          <w:tcPr>
            <w:tcW w:type="dxa" w:w="2016"/>
          </w:tcPr>
          <w:p>
            <w:r>
              <w:rPr>
                <w:rFonts w:ascii="Arial" w:hAnsi="Arial"/>
                <w:sz w:val="17"/>
              </w:rPr>
              <w:t>Surgical Pathology Report Generation</w:t>
            </w:r>
          </w:p>
        </w:tc>
        <w:tc>
          <w:tcPr>
            <w:tcW w:type="dxa" w:w="3600"/>
          </w:tcPr>
          <w:p>
            <w:r>
              <w:rPr>
                <w:rFonts w:ascii="Arial" w:hAnsi="Arial"/>
                <w:sz w:val="17"/>
              </w:rPr>
              <w:t>The pathologist must integrate multiple data streams into a single coherent diagnostic report, gross specimen examination findings dictated by the pathologists' assistant, microscopic morphologic pattern recognition across multiple H&amp;E-stained tissue sections, immunohistochemical stain interpretation with appropriate positive and negative controls, special stain results, correlation with clinical history from the EHR (operative reports, imaging findings, prior biopsy results), and evidence-based classification criteria (WHO Classification of Tumours, AJCC Cancer Staging Manual, CAP cancer protocol data elements, ASCO/CAP biomarker guidelines); complex cases require differential diagnosis formulation across entities with overlapping morphology, intradepartmental consultation, and correlation of pathologic findings with molecular testing results</w:t>
            </w:r>
          </w:p>
        </w:tc>
        <w:tc>
          <w:tcPr>
            <w:tcW w:type="dxa" w:w="2736"/>
          </w:tcPr>
          <w:p>
            <w:r>
              <w:rPr>
                <w:rFonts w:ascii="Arial" w:hAnsi="Arial"/>
                <w:sz w:val="17"/>
              </w:rPr>
              <w:t>Final signed surgical pathology report with specimen identification, gross description, microscopic description, final diagnosis with applicable staging/grading, synoptic cancer protocol data elements, and ancillary test results (IHC, molecular).</w:t>
            </w:r>
          </w:p>
        </w:tc>
        <w:tc>
          <w:tcPr>
            <w:tcW w:type="dxa" w:w="3600"/>
          </w:tcPr>
          <w:p>
            <w:r>
              <w:rPr>
                <w:rFonts w:ascii="Arial" w:hAnsi="Arial"/>
                <w:sz w:val="17"/>
              </w:rPr>
              <w:t>Reference a finding that requires comparison to a prior study/report (not provided in full, just summarized) so the agent must reason about interval change rather than describe a single snapshot.</w:t>
            </w:r>
          </w:p>
        </w:tc>
        <w:tc>
          <w:tcPr>
            <w:tcW w:type="dxa" w:w="2880"/>
          </w:tcPr>
          <w:p>
            <w:r>
              <w:rPr>
                <w:rFonts w:ascii="Arial" w:hAnsi="Arial"/>
                <w:sz w:val="17"/>
              </w:rPr>
              <w:t>ACR Appropriateness Criteria: https://www.acr.org/Clinical-Resources/ACR-Appropriateness-Criteria | CAP Cancer Protocol Templates: https://www.cap.org/protocols-and-guidelines/cancer-reporting-tools/cancer-protocol-templates | Project Sanctum Radiology Report Simulator: https://med-data-nine.vercel.app/ (tab 2) | Public-domain reference images (metadata scrubbed before use, license verified as public domain or CC BY-SA): NIH, CDC, WHO, Life in the Fast Lane (https://litfl.com/), Radiopaedia (https://radiopaedia.org/)</w:t>
            </w:r>
          </w:p>
        </w:tc>
      </w:tr>
      <w:tr>
        <w:tc>
          <w:tcPr>
            <w:tcW w:type="dxa" w:w="792"/>
          </w:tcPr>
          <w:p>
            <w:r>
              <w:rPr>
                <w:rFonts w:ascii="Arial" w:hAnsi="Arial"/>
                <w:b/>
                <w:sz w:val="17"/>
              </w:rPr>
              <w:t>P2</w:t>
            </w:r>
          </w:p>
        </w:tc>
        <w:tc>
          <w:tcPr>
            <w:tcW w:type="dxa" w:w="2016"/>
          </w:tcPr>
          <w:p>
            <w:r>
              <w:rPr>
                <w:rFonts w:ascii="Arial" w:hAnsi="Arial"/>
                <w:sz w:val="17"/>
              </w:rPr>
              <w:t>Timely Filing Compliance Monitoring</w:t>
            </w:r>
          </w:p>
        </w:tc>
        <w:tc>
          <w:tcPr>
            <w:tcW w:type="dxa" w:w="3600"/>
          </w:tcPr>
          <w:p>
            <w:r>
              <w:rPr>
                <w:rFonts w:ascii="Arial" w:hAnsi="Arial"/>
                <w:sz w:val="17"/>
              </w:rPr>
              <w:t>Requires pulling data from multiple systems (practice management / billing system, clearinghouse, payer portals), applying payer-specific filing rules, prioritizing claims by risk and dollar value, and coordinating corrective actions across billing staff, coding teams, and provider offices.</w:t>
            </w:r>
          </w:p>
        </w:tc>
        <w:tc>
          <w:tcPr>
            <w:tcW w:type="dxa" w:w="2736"/>
          </w:tcPr>
          <w:p>
            <w:r>
              <w:rPr>
                <w:rFonts w:ascii="Arial" w:hAnsi="Arial"/>
                <w:sz w:val="17"/>
              </w:rPr>
              <w:t>Timely filing compliance dashboard and exception report identifying claims at risk of filing deadline expiration with prioritized worklist and escalation alerts for revenue cycle staff.</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USP 797/800 Sterile Compounding Compliance Documentation</w:t>
            </w:r>
          </w:p>
        </w:tc>
        <w:tc>
          <w:tcPr>
            <w:tcW w:type="dxa" w:w="3600"/>
          </w:tcPr>
          <w:p>
            <w:r>
              <w:rPr>
                <w:rFonts w:ascii="Arial" w:hAnsi="Arial"/>
                <w:sz w:val="17"/>
              </w:rPr>
              <w:t>Requires coordinating multiple parallel documentation streams, environmental monitoring, personnel competency, cleaning verification, formulation records, across different personnel and time intervals, then synthesizing into audit-ready compliance packages. Each stream has its own cadence, responsible parties, and regulatory thresholds.</w:t>
            </w:r>
          </w:p>
        </w:tc>
        <w:tc>
          <w:tcPr>
            <w:tcW w:type="dxa" w:w="2736"/>
          </w:tcPr>
          <w:p>
            <w:r>
              <w:rPr>
                <w:rFonts w:ascii="Arial" w:hAnsi="Arial"/>
                <w:sz w:val="17"/>
              </w:rPr>
              <w:t>Compliance documentation package including environmental monitoring trending reports, personnel competency records, cleaning logs, facility certification records, and gap analysis against current USP 797/800 requirements.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340B Drug Pricing Program Compliance Audit and Reconciliation</w:t>
            </w:r>
          </w:p>
        </w:tc>
        <w:tc>
          <w:tcPr>
            <w:tcW w:type="dxa" w:w="3600"/>
          </w:tcPr>
          <w:p>
            <w:r>
              <w:rPr>
                <w:rFonts w:ascii="Arial" w:hAnsi="Arial"/>
                <w:sz w:val="17"/>
              </w:rPr>
              <w:t>Requires judgment-intensive reconciliation of dispensing, purchasing, and billing records across multiple systems (EMR, pharmacy dispensing, wholesaler, Medicaid). Auditor must determine patient eligibility per the 340B patient definition, adjudicate ambiguous cases involving contract pharmacy prescriptions from potentially ineligible sites, and assess whether duplicate discounts occurred by cross-referencing 340B purchases against Medicaid rebate claims.</w:t>
            </w:r>
          </w:p>
        </w:tc>
        <w:tc>
          <w:tcPr>
            <w:tcW w:type="dxa" w:w="2736"/>
          </w:tcPr>
          <w:p>
            <w:r>
              <w:rPr>
                <w:rFonts w:ascii="Arial" w:hAnsi="Arial"/>
                <w:sz w:val="17"/>
              </w:rPr>
              <w:t>340B compliance audit report documenting eligible vs. ineligible dispensing, diversion/duplicate discount analysis, split-billing accuracy, covered entity recertification status, and corrective action plan for identified violations.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Admisssion Status Review</w:t>
            </w:r>
          </w:p>
        </w:tc>
        <w:tc>
          <w:tcPr>
            <w:tcW w:type="dxa" w:w="3600"/>
          </w:tcPr>
          <w:p>
            <w:r>
              <w:rPr>
                <w:rFonts w:ascii="Arial" w:hAnsi="Arial"/>
                <w:sz w:val="17"/>
              </w:rPr>
              <w:t>Requires applying established criteria or standards to specific facts in order to reach a consequential, defensible determination, for Admisssion Status Review, this means exercising domain expertise to resolve competing interpretations and produce a binding or actionable judgment.</w:t>
            </w:r>
          </w:p>
        </w:tc>
        <w:tc>
          <w:tcPr>
            <w:tcW w:type="dxa" w:w="2736"/>
          </w:tcPr>
          <w:p>
            <w:r>
              <w:rPr>
                <w:rFonts w:ascii="Arial" w:hAnsi="Arial"/>
                <w:sz w:val="17"/>
              </w:rPr>
              <w:t>Admission status review with explanation supporting decision.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Adverse Drug Event (ADE) Investigation and FDA MedWatch Reporting</w:t>
            </w:r>
          </w:p>
        </w:tc>
        <w:tc>
          <w:tcPr>
            <w:tcW w:type="dxa" w:w="3600"/>
          </w:tcPr>
          <w:p>
            <w:r>
              <w:rPr>
                <w:rFonts w:ascii="Arial" w:hAnsi="Arial"/>
                <w:sz w:val="17"/>
              </w:rPr>
              <w:t>Requires structured clinical judgment to determine causality between suspected drug(s) and the adverse event; investigator must evaluate temporal relationships, dose-response patterns, dechallenge/rechallenge data, alternative explanations, and known pharmacological profiles to reach a defensible causality determination that meets both internal quality standards and FDA regulatory reporting thresholds</w:t>
            </w:r>
          </w:p>
        </w:tc>
        <w:tc>
          <w:tcPr>
            <w:tcW w:type="dxa" w:w="2736"/>
          </w:tcPr>
          <w:p>
            <w:r>
              <w:rPr>
                <w:rFonts w:ascii="Arial" w:hAnsi="Arial"/>
                <w:sz w:val="17"/>
              </w:rPr>
              <w:t>Completed ADE investigation report with causality assessment, FDA MedWatch 3500A submission for serious events, root cause analysis, medication safety recommendations, and pharmacy safety committee presentation.</w:t>
            </w:r>
          </w:p>
        </w:tc>
        <w:tc>
          <w:tcPr>
            <w:tcW w:type="dxa" w:w="3600"/>
          </w:tcPr>
          <w:p>
            <w:r>
              <w:rPr>
                <w:rFonts w:ascii="Arial" w:hAnsi="Arial"/>
                <w:sz w:val="17"/>
              </w:rPr>
              <w:t>Use a case with a plausible alternative explanation for the event (e.g., underlying disease progression vs. drug causality) so the agent must reason through causality assessment rather than assume reportability.</w:t>
            </w:r>
          </w:p>
        </w:tc>
        <w:tc>
          <w:tcPr>
            <w:tcW w:type="dxa" w:w="2880"/>
          </w:tcPr>
          <w:p>
            <w:r>
              <w:rPr>
                <w:rFonts w:ascii="Arial" w:hAnsi="Arial"/>
                <w:sz w:val="17"/>
              </w:rPr>
              <w:t>FDA MedWatch Forms and Reporting: https://www.fda.gov/safety/medical-product-safety-information/medwatch-forms-fda-safety-reporting</w:t>
            </w:r>
          </w:p>
        </w:tc>
      </w:tr>
      <w:tr>
        <w:tc>
          <w:tcPr>
            <w:tcW w:type="dxa" w:w="792"/>
          </w:tcPr>
          <w:p>
            <w:r>
              <w:rPr>
                <w:rFonts w:ascii="Arial" w:hAnsi="Arial"/>
                <w:b/>
                <w:sz w:val="17"/>
              </w:rPr>
              <w:t>P2</w:t>
            </w:r>
          </w:p>
        </w:tc>
        <w:tc>
          <w:tcPr>
            <w:tcW w:type="dxa" w:w="2016"/>
          </w:tcPr>
          <w:p>
            <w:r>
              <w:rPr>
                <w:rFonts w:ascii="Arial" w:hAnsi="Arial"/>
                <w:sz w:val="17"/>
              </w:rPr>
              <w:t>Antimicrobial Stewardship Prospective Audit and Feedback</w:t>
            </w:r>
          </w:p>
        </w:tc>
        <w:tc>
          <w:tcPr>
            <w:tcW w:type="dxa" w:w="3600"/>
          </w:tcPr>
          <w:p>
            <w:r>
              <w:rPr>
                <w:rFonts w:ascii="Arial" w:hAnsi="Arial"/>
                <w:sz w:val="17"/>
              </w:rPr>
              <w:t>The core task involves evaluating whether an antimicrobial regimen is appropriate given the clinical context and adjudicating between multiple possible therapeutic options. Requires weighing conflicting signals (empiric coverage breadth vs. de-escalation pressure, drug toxicity vs. efficacy, cost vs. clinical benefit) and rendering a professional judgment communicated as a recommendation to the treating clinician.</w:t>
            </w:r>
          </w:p>
        </w:tc>
        <w:tc>
          <w:tcPr>
            <w:tcW w:type="dxa" w:w="2736"/>
          </w:tcPr>
          <w:p>
            <w:r>
              <w:rPr>
                <w:rFonts w:ascii="Arial" w:hAnsi="Arial"/>
                <w:sz w:val="17"/>
              </w:rPr>
              <w:t>Prospective audit recommendations (de-escalation, IV-to-oral conversion, dose optimization, discontinuation), stewardship intervention log, antimicrobial utilization reports (DOT/1000 patient-days), and antibiogram analysis.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Antimicrobial Susceptibility Testing and Reporting</w:t>
            </w:r>
          </w:p>
        </w:tc>
        <w:tc>
          <w:tcPr>
            <w:tcW w:type="dxa" w:w="3600"/>
          </w:tcPr>
          <w:p>
            <w:r>
              <w:rPr>
                <w:rFonts w:ascii="Arial" w:hAnsi="Arial"/>
                <w:sz w:val="17"/>
              </w:rPr>
              <w:t>Primary workflow follows standardized protocols with defined decision rules for breakpoint interpretation. However, significant judgment is required for unusual resistance phenotypes, expert rule application, organism-antibiotic combinations requiring supplemental testing, and cascade reporting decisions. The execution classification reflects that ~70% of AST processing follows automated instrument protocols and rule-based interpretation, while ~30% requires microbiologist judgment for edge cases, QC failures, and unusual patterns.</w:t>
            </w:r>
          </w:p>
        </w:tc>
        <w:tc>
          <w:tcPr>
            <w:tcW w:type="dxa" w:w="2736"/>
          </w:tcPr>
          <w:p>
            <w:r>
              <w:rPr>
                <w:rFonts w:ascii="Arial" w:hAnsi="Arial"/>
                <w:sz w:val="17"/>
              </w:rPr>
              <w:t>Antimicrobial susceptibility report with organism identification, MIC values or zone diameters, interpretation (S/I/R) per CLSI breakpoints, selective/cascade reporting applied, and comments for unusual resistance patterns or mechanisms.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CC/MCC Capture Rate Analysis and Reporting</w:t>
            </w:r>
          </w:p>
        </w:tc>
        <w:tc>
          <w:tcPr>
            <w:tcW w:type="dxa" w:w="3600"/>
          </w:tcPr>
          <w:p>
            <w:r>
              <w:rPr>
                <w:rFonts w:ascii="Arial" w:hAnsi="Arial"/>
                <w:sz w:val="17"/>
              </w:rPr>
              <w:t>Requires integrating discharge data from multiple systems, applying DRG grouper logic, calculating multi-dimensional capture rates, and synthesizing findings against national benchmarks into actionable recommendations</w:t>
            </w:r>
          </w:p>
        </w:tc>
        <w:tc>
          <w:tcPr>
            <w:tcW w:type="dxa" w:w="2736"/>
          </w:tcPr>
          <w:p>
            <w:r>
              <w:rPr>
                <w:rFonts w:ascii="Arial" w:hAnsi="Arial"/>
                <w:sz w:val="17"/>
              </w:rPr>
              <w:t>CC/MCC capture rate analysis report with trending by service line, physician, and payer showing capture rate benchmarks, missed opportunity identification, and revenue impact quantification.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CDI Program Performance Dashboard and Metrics Compilation</w:t>
            </w:r>
          </w:p>
        </w:tc>
        <w:tc>
          <w:tcPr>
            <w:tcW w:type="dxa" w:w="3600"/>
          </w:tcPr>
          <w:p>
            <w:r>
              <w:rPr>
                <w:rFonts w:ascii="Arial" w:hAnsi="Arial"/>
                <w:sz w:val="17"/>
              </w:rPr>
              <w:t>Requires pulling data from multiple disparate systems (CDI software, EHR, encoder, CMS public files), harmonizing metrics across different calculation methodologies, performing trend analysis and benchmarking, and synthesizing findings into actionable executive-level narratives. Judgment is needed in interpreting metric movements, identifying root causes, and contextualizing performance against industry benchmarks.</w:t>
            </w:r>
          </w:p>
        </w:tc>
        <w:tc>
          <w:tcPr>
            <w:tcW w:type="dxa" w:w="2736"/>
          </w:tcPr>
          <w:p>
            <w:r>
              <w:rPr>
                <w:rFonts w:ascii="Arial" w:hAnsi="Arial"/>
                <w:sz w:val="17"/>
              </w:rPr>
              <w:t>Comprehensive CDI program performance dashboard displaying review rates, query rates, agreement rates, CMI impact, DRG accuracy, and revenue capture with month-over-month trending and benchmark comparisons.</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P2</w:t>
            </w:r>
          </w:p>
        </w:tc>
        <w:tc>
          <w:tcPr>
            <w:tcW w:type="dxa" w:w="2016"/>
          </w:tcPr>
          <w:p>
            <w:r>
              <w:rPr>
                <w:rFonts w:ascii="Arial" w:hAnsi="Arial"/>
                <w:sz w:val="17"/>
              </w:rPr>
              <w:t>Claim Submission &amp; Billing</w:t>
            </w:r>
          </w:p>
        </w:tc>
        <w:tc>
          <w:tcPr>
            <w:tcW w:type="dxa" w:w="3600"/>
          </w:tcPr>
          <w:p>
            <w:r>
              <w:rPr>
                <w:rFonts w:ascii="Arial" w:hAnsi="Arial"/>
                <w:sz w:val="17"/>
              </w:rPr>
              <w:t>Requires performing a defined, repeatable sequence of steps following established protocols with minimal independent judgment, for Claim Submission &amp; Billing, this means completing structured tasks accurately and efficiently within a predefined system or process.</w:t>
            </w:r>
          </w:p>
        </w:tc>
        <w:tc>
          <w:tcPr>
            <w:tcW w:type="dxa" w:w="2736"/>
          </w:tcPr>
          <w:p>
            <w:r>
              <w:rPr>
                <w:rFonts w:ascii="Arial" w:hAnsi="Arial"/>
                <w:sz w:val="17"/>
              </w:rPr>
              <w:t>Submitted clean claim accepted by clearinghouse/payer with billing record updated for follow-up and payment posting.</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Claims Adjudication &amp; Remittance Processing</w:t>
            </w:r>
          </w:p>
        </w:tc>
        <w:tc>
          <w:tcPr>
            <w:tcW w:type="dxa" w:w="3600"/>
          </w:tcPr>
          <w:p>
            <w:r>
              <w:rPr>
                <w:rFonts w:ascii="Arial" w:hAnsi="Arial"/>
                <w:sz w:val="17"/>
              </w:rPr>
              <w:t>Requires applying established criteria or standards to specific facts in order to reach a consequential, defensible determination, for Claims Adjudication &amp; Remittance Processing, this means exercising domain expertise to resolve competing interpretations and produce a binding or actionable judgment.</w:t>
            </w:r>
          </w:p>
        </w:tc>
        <w:tc>
          <w:tcPr>
            <w:tcW w:type="dxa" w:w="2736"/>
          </w:tcPr>
          <w:p>
            <w:r>
              <w:rPr>
                <w:rFonts w:ascii="Arial" w:hAnsi="Arial"/>
                <w:sz w:val="17"/>
              </w:rPr>
              <w:t>Claim status/adjudication outcome with remittance detail and updated billing system record (paid/denied/pend with reason codes).</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CMS LCD medical necessity MSK review</w:t>
            </w:r>
          </w:p>
        </w:tc>
        <w:tc>
          <w:tcPr>
            <w:tcW w:type="dxa" w:w="3600"/>
          </w:tcPr>
          <w:p>
            <w:r>
              <w:rPr>
                <w:rFonts w:ascii="Arial" w:hAnsi="Arial"/>
                <w:sz w:val="17"/>
              </w:rPr>
              <w:t>Requires applying established criteria or standards to specific facts in order to reach a consequential, defensible determination, for CMS LCD medical necessity MSK review, this means exercising domain expertise to resolve competing interpretations and produce a binding or actionable judgment.</w:t>
            </w:r>
          </w:p>
        </w:tc>
        <w:tc>
          <w:tcPr>
            <w:tcW w:type="dxa" w:w="2736"/>
          </w:tcPr>
          <w:p>
            <w:r>
              <w:rPr>
                <w:rFonts w:ascii="Arial" w:hAnsi="Arial"/>
                <w:sz w:val="17"/>
              </w:rPr>
              <w:t>A completed letter of medical necessity determination either approving a procedure or denial stating the reasons for denial or non-certification.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Coding Audit and Compliance Review</w:t>
            </w:r>
          </w:p>
        </w:tc>
        <w:tc>
          <w:tcPr>
            <w:tcW w:type="dxa" w:w="3600"/>
          </w:tcPr>
          <w:p>
            <w:r>
              <w:rPr>
                <w:rFonts w:ascii="Arial" w:hAnsi="Arial"/>
                <w:sz w:val="17"/>
              </w:rPr>
              <w:t>Each sampled encounter requires adjudication, the auditor compares the clinical documentation against the codes assigned by the original coder and renders a determination on whether each code assignment is accurate, overcoded, undercoded, or unsupported. This requires interpreting physician narratives, evaluating medical decision-making complexity, assessing documentation specificity, and applying multiple overlapping coding guideline frameworks. The Protiviti 2024 analysis found that modifier 25 overuse in dermatology (56% of same-day E/M and minor surgery claims in 2019) and ED E/M level 99285 assignment are key areas where professional judgment, not rule-based validation, determines the correct finding. The auditor must then synthesize individual encounter findings into systemic patterns, benchmark against peer performance, and develop targeted corrective actions.</w:t>
            </w:r>
          </w:p>
        </w:tc>
        <w:tc>
          <w:tcPr>
            <w:tcW w:type="dxa" w:w="2736"/>
          </w:tcPr>
          <w:p>
            <w:r>
              <w:rPr>
                <w:rFonts w:ascii="Arial" w:hAnsi="Arial"/>
                <w:sz w:val="17"/>
              </w:rPr>
              <w:t>Coding audit findings report with accuracy rates by coder/service line, error categorization (overcoding, undercoding, unbundling, modifier misuse), financial impact analysis, corrective action recommendations, and education plan.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Cost-to-Collect Analysis and Benchmarking</w:t>
            </w:r>
          </w:p>
        </w:tc>
        <w:tc>
          <w:tcPr>
            <w:tcW w:type="dxa" w:w="3600"/>
          </w:tcPr>
          <w:p>
            <w:r>
              <w:rPr>
                <w:rFonts w:ascii="Arial" w:hAnsi="Arial"/>
                <w:sz w:val="17"/>
              </w:rPr>
              <w:t>Requires integrating financial data from multiple internal systems (GL, payroll, vendor contracts, RCM platforms) with external benchmark databases, then synthesizing findings into a coherent narrative with prioritized recommendations. Judgment is needed in cost allocation methodology and peer group selection.</w:t>
            </w:r>
          </w:p>
        </w:tc>
        <w:tc>
          <w:tcPr>
            <w:tcW w:type="dxa" w:w="2736"/>
          </w:tcPr>
          <w:p>
            <w:r>
              <w:rPr>
                <w:rFonts w:ascii="Arial" w:hAnsi="Arial"/>
                <w:sz w:val="17"/>
              </w:rPr>
              <w:t>Cost-to-collect analysis report/dashboard with peer benchmarks and prioritized recommendations, supported by an underlying spreadsheet model.</w:t>
            </w:r>
          </w:p>
        </w:tc>
        <w:tc>
          <w:tcPr>
            <w:tcW w:type="dxa" w:w="3600"/>
          </w:tcPr>
          <w:p>
            <w:r>
              <w:rPr>
                <w:rFonts w:ascii="Arial" w:hAnsi="Arial"/>
                <w:sz w:val="17"/>
              </w:rPr>
              <w:t>Add a recent (post-cutoff) fee schedule or rate change as an attached document so any analysis using old embedded rates becomes detectably wrong if the agent doesn't check the attachment.</w:t>
            </w:r>
          </w:p>
        </w:tc>
        <w:tc>
          <w:tcPr>
            <w:tcW w:type="dxa" w:w="2880"/>
          </w:tcPr>
          <w:p>
            <w:r>
              <w:rPr>
                <w:rFonts w:ascii="Arial" w:hAnsi="Arial"/>
                <w:sz w:val="17"/>
              </w:rPr>
              <w:t>HFMA MAP Keys: https://www.hfma.org/topics/map-keys/ | CMS Fee Schedules: https://www.cms.gov/medicare/payment/fee-schedules</w:t>
            </w:r>
          </w:p>
        </w:tc>
      </w:tr>
      <w:tr>
        <w:tc>
          <w:tcPr>
            <w:tcW w:type="dxa" w:w="792"/>
          </w:tcPr>
          <w:p>
            <w:r>
              <w:rPr>
                <w:rFonts w:ascii="Arial" w:hAnsi="Arial"/>
                <w:b/>
                <w:sz w:val="17"/>
              </w:rPr>
              <w:t>P2</w:t>
            </w:r>
          </w:p>
        </w:tc>
        <w:tc>
          <w:tcPr>
            <w:tcW w:type="dxa" w:w="2016"/>
          </w:tcPr>
          <w:p>
            <w:r>
              <w:rPr>
                <w:rFonts w:ascii="Arial" w:hAnsi="Arial"/>
                <w:sz w:val="17"/>
              </w:rPr>
              <w:t>Cytopathology Screening and Report Generation</w:t>
            </w:r>
          </w:p>
        </w:tc>
        <w:tc>
          <w:tcPr>
            <w:tcW w:type="dxa" w:w="3600"/>
          </w:tcPr>
          <w:p>
            <w:r>
              <w:rPr>
                <w:rFonts w:ascii="Arial" w:hAnsi="Arial"/>
                <w:sz w:val="17"/>
              </w:rPr>
              <w:t>The cytopathology screening and reporting workflow requires the cytotechnologist to systematically evaluate 40,000-50,000 cells per slide across multiple focal planes, identifying abnormal morphologic patterns among a vast background of normal cells; abnormal cases require the cytopathologist to integrate cytomorphologic findings from the slide with clinical history (age, HPV status, screening interval, prior Pap results, hormonal status, cervical biopsy history), HPV molecular co-testing results, and established classification systems (TBS 2014, Bethesda System for Thyroid Cytopathology 2023, Paris System for Urinary Cytology) to synthesize a standardized diagnostic report with appropriate management recommendations; non-gynecologic specimens (FNA, body fluids) require additional integration of imaging findings, rapid on-site adequacy assessment, and cell block histologic correlation</w:t>
            </w:r>
          </w:p>
        </w:tc>
        <w:tc>
          <w:tcPr>
            <w:tcW w:type="dxa" w:w="2736"/>
          </w:tcPr>
          <w:p>
            <w:r>
              <w:rPr>
                <w:rFonts w:ascii="Arial" w:hAnsi="Arial"/>
                <w:sz w:val="17"/>
              </w:rPr>
              <w:t>Signed cytopathology report with specimen adequacy assessment, Bethesda System classification, descriptive diagnosis, HPV correlation, and management recommendations per ASCCP guidelines.</w:t>
            </w:r>
          </w:p>
        </w:tc>
        <w:tc>
          <w:tcPr>
            <w:tcW w:type="dxa" w:w="3600"/>
          </w:tcPr>
          <w:p>
            <w:r>
              <w:rPr>
                <w:rFonts w:ascii="Arial" w:hAnsi="Arial"/>
                <w:sz w:val="17"/>
              </w:rPr>
              <w:t>Reference a finding that requires comparison to a prior study/report (not provided in full, just summarized) so the agent must reason about interval change rather than describe a single snapshot.</w:t>
            </w:r>
          </w:p>
        </w:tc>
        <w:tc>
          <w:tcPr>
            <w:tcW w:type="dxa" w:w="2880"/>
          </w:tcPr>
          <w:p>
            <w:r>
              <w:rPr>
                <w:rFonts w:ascii="Arial" w:hAnsi="Arial"/>
                <w:sz w:val="17"/>
              </w:rPr>
              <w:t>ACR Appropriateness Criteria: https://www.acr.org/Clinical-Resources/ACR-Appropriateness-Criteria | CAP Cancer Protocol Templates: https://www.cap.org/protocols-and-guidelines/cancer-reporting-tools/cancer-protocol-templates | Project Sanctum Radiology Report Simulator: https://med-data-nine.vercel.app/ (tab 2) | Public-domain reference images (metadata scrubbed before use, license verified as public domain or CC BY-SA): NIH, CDC, WHO, Life in the Fast Lane (https://litfl.com/), Radiopaedia (https://radiopaedia.org/)</w:t>
            </w:r>
          </w:p>
        </w:tc>
      </w:tr>
      <w:tr>
        <w:tc>
          <w:tcPr>
            <w:tcW w:type="dxa" w:w="792"/>
          </w:tcPr>
          <w:p>
            <w:r>
              <w:rPr>
                <w:rFonts w:ascii="Arial" w:hAnsi="Arial"/>
                <w:b/>
                <w:sz w:val="17"/>
              </w:rPr>
              <w:t>P2</w:t>
            </w:r>
          </w:p>
        </w:tc>
        <w:tc>
          <w:tcPr>
            <w:tcW w:type="dxa" w:w="2016"/>
          </w:tcPr>
          <w:p>
            <w:r>
              <w:rPr>
                <w:rFonts w:ascii="Arial" w:hAnsi="Arial"/>
                <w:sz w:val="17"/>
              </w:rPr>
              <w:t>Discharge notes</w:t>
            </w:r>
          </w:p>
        </w:tc>
        <w:tc>
          <w:tcPr>
            <w:tcW w:type="dxa" w:w="3600"/>
          </w:tcPr>
          <w:p>
            <w:r>
              <w:rPr>
                <w:rFonts w:ascii="Arial" w:hAnsi="Arial"/>
                <w:sz w:val="17"/>
              </w:rPr>
              <w:t>Requires integrating information from multiple disparate sources into a coherent, unified output, for Discharge notes, this means transforming raw inputs (records, data, precedents) into a structured document that communicates findings, positions, or recommendations.</w:t>
            </w:r>
          </w:p>
        </w:tc>
        <w:tc>
          <w:tcPr>
            <w:tcW w:type="dxa" w:w="2736"/>
          </w:tcPr>
          <w:p>
            <w:r>
              <w:rPr>
                <w:rFonts w:ascii="Arial" w:hAnsi="Arial"/>
                <w:sz w:val="17"/>
              </w:rPr>
              <w:t>The discharge note workflow ensures that the final coded data accurately reflects the patient’s entire hospital stay. By validating diagnoses, resolving documentation gaps, and confirming DRG assignment, we ensure compliance, proper reimbursement, and high-quality data reporting.</w:t>
            </w:r>
          </w:p>
        </w:tc>
        <w:tc>
          <w:tcPr>
            <w:tcW w:type="dxa" w:w="3600"/>
          </w:tcPr>
          <w:p>
            <w:r>
              <w:rPr>
                <w:rFonts w:ascii="Arial" w:hAnsi="Arial"/>
                <w:sz w:val="17"/>
              </w:rPr>
              <w:t>Add a discrepancy between the discharge medication list and what was actually administered during the stay, requiring the agent to identify and resolve an unintentional change.</w:t>
            </w:r>
          </w:p>
        </w:tc>
        <w:tc>
          <w:tcPr>
            <w:tcW w:type="dxa" w:w="2880"/>
          </w:tcPr>
          <w:p>
            <w:r>
              <w:rPr>
                <w:rFonts w:ascii="Arial" w:hAnsi="Arial"/>
                <w:sz w:val="17"/>
              </w:rPr>
              <w:t>AHRQ Care Transitions resources: https://www.ahrq.gov/patient-safety/settings/hospital/red/index.html | CMS Discharge Planning CoPs: https://www.cms.gov/medicare/health-safety-standards/quality-safety-oversight-certification-compliance</w:t>
            </w:r>
          </w:p>
        </w:tc>
      </w:tr>
      <w:tr>
        <w:tc>
          <w:tcPr>
            <w:tcW w:type="dxa" w:w="792"/>
          </w:tcPr>
          <w:p>
            <w:r>
              <w:rPr>
                <w:rFonts w:ascii="Arial" w:hAnsi="Arial"/>
                <w:b/>
                <w:sz w:val="17"/>
              </w:rPr>
              <w:t>P2</w:t>
            </w:r>
          </w:p>
        </w:tc>
        <w:tc>
          <w:tcPr>
            <w:tcW w:type="dxa" w:w="2016"/>
          </w:tcPr>
          <w:p>
            <w:r>
              <w:rPr>
                <w:rFonts w:ascii="Arial" w:hAnsi="Arial"/>
                <w:sz w:val="17"/>
              </w:rPr>
              <w:t>Drug Utilization Review (DUR) Assessment</w:t>
            </w:r>
          </w:p>
        </w:tc>
        <w:tc>
          <w:tcPr>
            <w:tcW w:type="dxa" w:w="3600"/>
          </w:tcPr>
          <w:p>
            <w:r>
              <w:rPr>
                <w:rFonts w:ascii="Arial" w:hAnsi="Arial"/>
                <w:sz w:val="17"/>
              </w:rPr>
              <w:t>The DUR assessment requires synthesizing information from multiple independent sources: pharmacy claims databases for prescribing pattern analysis, clinical literature for evidence-based criteria development, drug compendia for dosing/indication verification, patient medical records for clinical appropriateness evaluation, FDA safety communications for emerging risk signals, and published clinical practice guidelines for therapeutic benchmarking. The pharmacist must integrate quantitative claims analysis with qualitative clinical judgment to determine whether identified patterns represent genuine quality concerns or acceptable clinical variation. Unlike pure orchestration (which coordinates known steps), the DUR assessment requires novel clinical synthesis to evaluate whether observed prescribing deviations from established criteria constitute appropriate individualized care or problematic patterns warranting intervention.</w:t>
            </w:r>
          </w:p>
        </w:tc>
        <w:tc>
          <w:tcPr>
            <w:tcW w:type="dxa" w:w="2736"/>
          </w:tcPr>
          <w:p>
            <w:r>
              <w:rPr>
                <w:rFonts w:ascii="Arial" w:hAnsi="Arial"/>
                <w:sz w:val="17"/>
              </w:rPr>
              <w:t>DUR alert evaluation and resolution documentation, identified drug-drug interactions and therapeutic duplications with clinical significance assessment, dose adjustment recommendations, and prescriber notification records.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Durable medical equipment, prosthetics and orthotics prior authorization</w:t>
            </w:r>
          </w:p>
        </w:tc>
        <w:tc>
          <w:tcPr>
            <w:tcW w:type="dxa" w:w="3600"/>
          </w:tcPr>
          <w:p>
            <w:r>
              <w:rPr>
                <w:rFonts w:ascii="Arial" w:hAnsi="Arial"/>
                <w:sz w:val="17"/>
              </w:rPr>
              <w:t>Requires applying established criteria or standards to specific facts in order to reach a consequential, defensible determination, for Durable medical equipment, prosthetics and orthotics prior authorization, this means exercising domain expertise to resolve competing interpretations and produce a binding or actionable judgment.</w:t>
            </w:r>
          </w:p>
        </w:tc>
        <w:tc>
          <w:tcPr>
            <w:tcW w:type="dxa" w:w="2736"/>
          </w:tcPr>
          <w:p>
            <w:r>
              <w:rPr>
                <w:rFonts w:ascii="Arial" w:hAnsi="Arial"/>
                <w:sz w:val="17"/>
              </w:rPr>
              <w:t>The workflow produces a documented determination of medical necessity and coverage, correct HCPCS/L-codes, and either an authorization decision or a claim ready for submission and reimbursement.</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P2</w:t>
            </w:r>
          </w:p>
        </w:tc>
        <w:tc>
          <w:tcPr>
            <w:tcW w:type="dxa" w:w="2016"/>
          </w:tcPr>
          <w:p>
            <w:r>
              <w:rPr>
                <w:rFonts w:ascii="Arial" w:hAnsi="Arial"/>
                <w:sz w:val="17"/>
              </w:rPr>
              <w:t>Expected vs Posted Reconciliation</w:t>
            </w:r>
          </w:p>
        </w:tc>
        <w:tc>
          <w:tcPr>
            <w:tcW w:type="dxa" w:w="3600"/>
          </w:tcPr>
          <w:p>
            <w:r>
              <w:rPr>
                <w:rFonts w:ascii="Arial" w:hAnsi="Arial"/>
                <w:sz w:val="17"/>
              </w:rPr>
              <w:t>Requires applying established criteria or standards to specific facts in order to reach a consequential, defensible determination, for Expected vs Posted Reconciliation, this means exercising domain expertise to resolve competing interpretations and produce a binding or actionable judgment.</w:t>
            </w:r>
          </w:p>
        </w:tc>
        <w:tc>
          <w:tcPr>
            <w:tcW w:type="dxa" w:w="2736"/>
          </w:tcPr>
          <w:p>
            <w:r>
              <w:rPr>
                <w:rFonts w:ascii="Arial" w:hAnsi="Arial"/>
                <w:sz w:val="17"/>
              </w:rPr>
              <w:t>Expected vs. posted payment reconciliation report with identified variances and follow-up actions (adjustment, appeal, or payer outreach).</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Fax Prior Authorization Submission</w:t>
            </w:r>
          </w:p>
        </w:tc>
        <w:tc>
          <w:tcPr>
            <w:tcW w:type="dxa" w:w="3600"/>
          </w:tcPr>
          <w:p>
            <w:r>
              <w:rPr>
                <w:rFonts w:ascii="Arial" w:hAnsi="Arial"/>
                <w:sz w:val="17"/>
              </w:rPr>
              <w:t>Requires performing a defined, repeatable sequence of steps following established protocols with minimal independent judgment, for Fax Prior Authorization Submission, this means completing structured tasks accurately and efficiently within a predefined system or process.</w:t>
            </w:r>
          </w:p>
        </w:tc>
        <w:tc>
          <w:tcPr>
            <w:tcW w:type="dxa" w:w="2736"/>
          </w:tcPr>
          <w:p>
            <w:r>
              <w:rPr>
                <w:rFonts w:ascii="Arial" w:hAnsi="Arial"/>
                <w:sz w:val="17"/>
              </w:rPr>
              <w:t>Prior authorization request form and supporting clinical documentation packet faxed to payer, with fax confirmation/reference recorded in the EHR.</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P2</w:t>
            </w:r>
          </w:p>
        </w:tc>
        <w:tc>
          <w:tcPr>
            <w:tcW w:type="dxa" w:w="2016"/>
          </w:tcPr>
          <w:p>
            <w:r>
              <w:rPr>
                <w:rFonts w:ascii="Arial" w:hAnsi="Arial"/>
                <w:sz w:val="17"/>
              </w:rPr>
              <w:t>Fee Schedule Analysis and Reimbursement Modeling</w:t>
            </w:r>
          </w:p>
        </w:tc>
        <w:tc>
          <w:tcPr>
            <w:tcW w:type="dxa" w:w="3600"/>
          </w:tcPr>
          <w:p>
            <w:r>
              <w:rPr>
                <w:rFonts w:ascii="Arial" w:hAnsi="Arial"/>
                <w:sz w:val="17"/>
              </w:rPr>
              <w:t>Requires synthesizing data from multiple CMS fee schedule files, internal claims volume data, payer contract terms, and market benchmarks into a unified financial model. The analyst must reconcile different reimbursement methodologies across payers, apply conversion factors and geographic adjustments, model the cascading effects of RVU changes across procedure families, and translate technical rate changes into actionable financial projections for executive decision-making.</w:t>
            </w:r>
          </w:p>
        </w:tc>
        <w:tc>
          <w:tcPr>
            <w:tcW w:type="dxa" w:w="2736"/>
          </w:tcPr>
          <w:p>
            <w:r>
              <w:rPr>
                <w:rFonts w:ascii="Arial" w:hAnsi="Arial"/>
                <w:sz w:val="17"/>
              </w:rPr>
              <w:t>Reimbursement modeling spreadsheet/workbook comparing fee schedules, plus a summary report/deck for contracting (projected revenue impact and negotiation targets).</w:t>
            </w:r>
          </w:p>
        </w:tc>
        <w:tc>
          <w:tcPr>
            <w:tcW w:type="dxa" w:w="3600"/>
          </w:tcPr>
          <w:p>
            <w:r>
              <w:rPr>
                <w:rFonts w:ascii="Arial" w:hAnsi="Arial"/>
                <w:sz w:val="17"/>
              </w:rPr>
              <w:t>Add a recent (post-cutoff) fee schedule or rate change as an attached document so any analysis using old embedded rates becomes detectably wrong if the agent doesn't check the attachment.</w:t>
            </w:r>
          </w:p>
        </w:tc>
        <w:tc>
          <w:tcPr>
            <w:tcW w:type="dxa" w:w="2880"/>
          </w:tcPr>
          <w:p>
            <w:r>
              <w:rPr>
                <w:rFonts w:ascii="Arial" w:hAnsi="Arial"/>
                <w:sz w:val="17"/>
              </w:rPr>
              <w:t>HFMA MAP Keys: https://www.hfma.org/topics/map-keys/ | CMS Fee Schedules: https://www.cms.gov/medicare/payment/fee-schedules</w:t>
            </w:r>
          </w:p>
        </w:tc>
      </w:tr>
      <w:tr>
        <w:tc>
          <w:tcPr>
            <w:tcW w:type="dxa" w:w="792"/>
          </w:tcPr>
          <w:p>
            <w:r>
              <w:rPr>
                <w:rFonts w:ascii="Arial" w:hAnsi="Arial"/>
                <w:b/>
                <w:sz w:val="17"/>
              </w:rPr>
              <w:t>P2</w:t>
            </w:r>
          </w:p>
        </w:tc>
        <w:tc>
          <w:tcPr>
            <w:tcW w:type="dxa" w:w="2016"/>
          </w:tcPr>
          <w:p>
            <w:r>
              <w:rPr>
                <w:rFonts w:ascii="Arial" w:hAnsi="Arial"/>
                <w:sz w:val="17"/>
              </w:rPr>
              <w:t>Genetic/Genomic Test Interpretation Report</w:t>
            </w:r>
          </w:p>
        </w:tc>
        <w:tc>
          <w:tcPr>
            <w:tcW w:type="dxa" w:w="3600"/>
          </w:tcPr>
          <w:p>
            <w:r>
              <w:rPr>
                <w:rFonts w:ascii="Arial" w:hAnsi="Arial"/>
                <w:sz w:val="17"/>
              </w:rPr>
              <w:t>The core intellectual task is adjudication, weighing multiple, sometimes conflicting, lines of evidence (population frequency data, computational predictions, functional studies, segregation data, clinical literature) to arrive at a classification determination for each variant. The ACMG/AMP framework provides structured criteria, but applying those criteria to novel or ambiguous variants requires professional judgment, especially for variants of uncertain significance (VUS) where evidence is incomplete or contradictory.</w:t>
            </w:r>
          </w:p>
        </w:tc>
        <w:tc>
          <w:tcPr>
            <w:tcW w:type="dxa" w:w="2736"/>
          </w:tcPr>
          <w:p>
            <w:r>
              <w:rPr>
                <w:rFonts w:ascii="Arial" w:hAnsi="Arial"/>
                <w:sz w:val="17"/>
              </w:rPr>
              <w:t>Clinical genetic/genomic test report with variant classification (pathogenic, likely pathogenic, VUS, likely benign, benign) per ACMG/AMP guidelines, clinical significance interpretation, therapeutic implications, and genetic counseling recommendations.</w:t>
            </w:r>
          </w:p>
        </w:tc>
        <w:tc>
          <w:tcPr>
            <w:tcW w:type="dxa" w:w="3600"/>
          </w:tcPr>
          <w:p>
            <w:r>
              <w:rPr>
                <w:rFonts w:ascii="Arial" w:hAnsi="Arial"/>
                <w:sz w:val="17"/>
              </w:rPr>
              <w:t>Use a variant of uncertain significance (VUS) with incomplete or mildly conflicting evidence lines, so the correct answer is a defensible, well-reasoned classification rather than a lookup.</w:t>
            </w:r>
          </w:p>
        </w:tc>
        <w:tc>
          <w:tcPr>
            <w:tcW w:type="dxa" w:w="2880"/>
          </w:tcPr>
          <w:p>
            <w:r>
              <w:rPr>
                <w:rFonts w:ascii="Arial" w:hAnsi="Arial"/>
                <w:sz w:val="17"/>
              </w:rPr>
              <w:t>ClinVar (NIH variant database): https://www.ncbi.nlm.nih.gov/clinvar/ | ACMG/AMP variant classification standards: https://www.acmg.net/</w:t>
            </w:r>
          </w:p>
        </w:tc>
      </w:tr>
      <w:tr>
        <w:tc>
          <w:tcPr>
            <w:tcW w:type="dxa" w:w="792"/>
          </w:tcPr>
          <w:p>
            <w:r>
              <w:rPr>
                <w:rFonts w:ascii="Arial" w:hAnsi="Arial"/>
                <w:b/>
                <w:sz w:val="17"/>
              </w:rPr>
              <w:t>P2</w:t>
            </w:r>
          </w:p>
        </w:tc>
        <w:tc>
          <w:tcPr>
            <w:tcW w:type="dxa" w:w="2016"/>
          </w:tcPr>
          <w:p>
            <w:r>
              <w:rPr>
                <w:rFonts w:ascii="Arial" w:hAnsi="Arial"/>
                <w:sz w:val="17"/>
              </w:rPr>
              <w:t>Grievance and Complaint Trend Analysis Report</w:t>
            </w:r>
          </w:p>
        </w:tc>
        <w:tc>
          <w:tcPr>
            <w:tcW w:type="dxa" w:w="3600"/>
          </w:tcPr>
          <w:p>
            <w:r>
              <w:rPr>
                <w:rFonts w:ascii="Arial" w:hAnsi="Arial"/>
                <w:sz w:val="17"/>
              </w:rPr>
              <w:t>Requires aggregating grievance data from multiple tracking systems (CTM, internal A&amp;G databases, state portals), applying CMS category taxonomies, performing statistical trend analysis across time periods and MCO peers, and synthesizing findings into actionable quality improvement recommendations with regulatory compliance attestations.</w:t>
            </w:r>
          </w:p>
        </w:tc>
        <w:tc>
          <w:tcPr>
            <w:tcW w:type="dxa" w:w="2736"/>
          </w:tcPr>
          <w:p>
            <w:r>
              <w:rPr>
                <w:rFonts w:ascii="Arial" w:hAnsi="Arial"/>
                <w:sz w:val="17"/>
              </w:rPr>
              <w:t>Grievance and complaint trend analysis report with categorized complaint volumes, trending by type/department/root cause, regulatory compliance status, corrective action tracking, and improvement recommendations.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Laboratory Equipment Calibration and Maintenance Documentation</w:t>
            </w:r>
          </w:p>
        </w:tc>
        <w:tc>
          <w:tcPr>
            <w:tcW w:type="dxa" w:w="3600"/>
          </w:tcPr>
          <w:p>
            <w:r>
              <w:rPr>
                <w:rFonts w:ascii="Arial" w:hAnsi="Arial"/>
                <w:sz w:val="17"/>
              </w:rPr>
              <w:t>Primarily procedural execution following manufacturer protocols and CLIA/CAP requirements, with judgment required for out-of-range results, troubleshooting, and corrective action determination</w:t>
            </w:r>
          </w:p>
        </w:tc>
        <w:tc>
          <w:tcPr>
            <w:tcW w:type="dxa" w:w="2736"/>
          </w:tcPr>
          <w:p>
            <w:r>
              <w:rPr>
                <w:rFonts w:ascii="Arial" w:hAnsi="Arial"/>
                <w:sz w:val="17"/>
              </w:rPr>
              <w:t>Complete calibration verification records and preventive maintenance logs with documented corrective actions and instrument performance trending reports.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Laboratory Quality Control Review and Documentation</w:t>
            </w:r>
          </w:p>
        </w:tc>
        <w:tc>
          <w:tcPr>
            <w:tcW w:type="dxa" w:w="3600"/>
          </w:tcPr>
          <w:p>
            <w:r>
              <w:rPr>
                <w:rFonts w:ascii="Arial" w:hAnsi="Arial"/>
                <w:sz w:val="17"/>
              </w:rPr>
              <w:t>Requires applying Westgard rules and CLIA-mandated criteria to determine acceptability of QC results, deciding whether patient results can be released or must be held, and adjudicating corrective action pathways when controls fail</w:t>
            </w:r>
          </w:p>
        </w:tc>
        <w:tc>
          <w:tcPr>
            <w:tcW w:type="dxa" w:w="2736"/>
          </w:tcPr>
          <w:p>
            <w:r>
              <w:rPr>
                <w:rFonts w:ascii="Arial" w:hAnsi="Arial"/>
                <w:sz w:val="17"/>
              </w:rPr>
              <w:t>Daily QC review documentation with Levey-Jennings charts, Westgard rule evaluation, out-of-control investigation and corrective action records, monthly QC summary statistics (mean, SD, CV%), and regulatory-compliant QC logs.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Medical Coding Compliance Audit</w:t>
            </w:r>
          </w:p>
        </w:tc>
        <w:tc>
          <w:tcPr>
            <w:tcW w:type="dxa" w:w="3600"/>
          </w:tcPr>
          <w:p>
            <w:r>
              <w:rPr>
                <w:rFonts w:ascii="Arial" w:hAnsi="Arial"/>
                <w:sz w:val="17"/>
              </w:rPr>
              <w:t>Each sampled encounter requires adjudication, comparing the clinical documentation in the medical record against the codes assigned by the original coder to determine whether the coding is accurate, overcoded, undercoded, or unsupported. The auditor must interpret physician documentation (history, exam findings, medical decision-making, procedure details) and apply ICD-10-CM Official Guidelines, CPT coding conventions, CMS coding guidance, and payer-specific rules to render a finding on each encounter. The OIG's 2024 audit of Independent Health Association found that for 230 of 247 sampled enrollee-years, medical records did not support the submitted diagnosis codes, demonstrating that coding adjudication is non-trivial and error-prone even among professional coders.</w:t>
            </w:r>
          </w:p>
        </w:tc>
        <w:tc>
          <w:tcPr>
            <w:tcW w:type="dxa" w:w="2736"/>
          </w:tcPr>
          <w:p>
            <w:r>
              <w:rPr>
                <w:rFonts w:ascii="Arial" w:hAnsi="Arial"/>
                <w:sz w:val="17"/>
              </w:rPr>
              <w:t>Completed coding compliance audit report with accuracy rates by coder/service line, identified error patterns, financial impact analysis of over/under-coding, and corrective action recommendations with targeted education plan.</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Medications Associated With Hospital Readmissions</w:t>
            </w:r>
          </w:p>
        </w:tc>
        <w:tc>
          <w:tcPr>
            <w:tcW w:type="dxa" w:w="3600"/>
          </w:tcPr>
          <w:p>
            <w:r>
              <w:rPr>
                <w:rFonts w:ascii="Arial" w:hAnsi="Arial"/>
                <w:sz w:val="17"/>
              </w:rPr>
              <w:t>Requires applying established criteria or standards to specific facts in order to reach a consequential, defensible determination, for Medications Associated With Hospital Readmissions, this means exercising domain expertise to resolve competing interpretations and produce a binding or actionable judgment.</w:t>
            </w:r>
          </w:p>
        </w:tc>
        <w:tc>
          <w:tcPr>
            <w:tcW w:type="dxa" w:w="2736"/>
          </w:tcPr>
          <w:p>
            <w:r>
              <w:rPr>
                <w:rFonts w:ascii="Arial" w:hAnsi="Arial"/>
                <w:sz w:val="17"/>
              </w:rPr>
              <w:t>Medication risk/optimization insights to reduce readmissions (e.g., high-risk medication flags, adherence barriers, and follow-up recommendations).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Mock Survey and Tracer Audit Execution Report</w:t>
            </w:r>
          </w:p>
        </w:tc>
        <w:tc>
          <w:tcPr>
            <w:tcW w:type="dxa" w:w="3600"/>
          </w:tcPr>
          <w:p>
            <w:r>
              <w:rPr>
                <w:rFonts w:ascii="Arial" w:hAnsi="Arial"/>
                <w:sz w:val="17"/>
              </w:rPr>
              <w:t>Requires synthesizing observations, interviews, document reviews, and tracer findings from across multiple departments, patient care units, and standards chapters into a coherent findings report. The mock surveyor must integrate clinical observations (e.g., hand hygiene compliance, medication labeling, patient identification practices) with document review findings (e.g., policy currency, training completion, credentialing files) and system tracer data (e.g., data management, infection prevention program effectiveness) into prioritized findings mapped to specific standards and Elements of Performance, scored using the SAFER Matrix framework, and accompanied by actionable corrective action recommendations</w:t>
            </w:r>
          </w:p>
        </w:tc>
        <w:tc>
          <w:tcPr>
            <w:tcW w:type="dxa" w:w="2736"/>
          </w:tcPr>
          <w:p>
            <w:r>
              <w:rPr>
                <w:rFonts w:ascii="Arial" w:hAnsi="Arial"/>
                <w:sz w:val="17"/>
              </w:rPr>
              <w:t>Mock survey execution report with tracer findings organized by standard/chapter, compliance ratings, identified deficiencies with risk prioritization, corrective action recommendations, and overall accreditation readiness assessment.</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Mortality and Quality Indicator Second-Level Review</w:t>
            </w:r>
          </w:p>
        </w:tc>
        <w:tc>
          <w:tcPr>
            <w:tcW w:type="dxa" w:w="3600"/>
          </w:tcPr>
          <w:p>
            <w:r>
              <w:rPr>
                <w:rFonts w:ascii="Arial" w:hAnsi="Arial"/>
                <w:sz w:val="17"/>
              </w:rPr>
              <w:t>Each case requires the reviewer to adjudicate between the clinical documentation in the medical record and the coded diagnoses/procedures, determining whether query opportunities exist, whether present-on-admission status is correctly assigned, and whether severity of illness and risk of mortality scores accurately reflect patient acuity. Requires weighing clinical evidence against coding guidelines and risk model specifications.</w:t>
            </w:r>
          </w:p>
        </w:tc>
        <w:tc>
          <w:tcPr>
            <w:tcW w:type="dxa" w:w="2736"/>
          </w:tcPr>
          <w:p>
            <w:r>
              <w:rPr>
                <w:rFonts w:ascii="Arial" w:hAnsi="Arial"/>
                <w:sz w:val="17"/>
              </w:rPr>
              <w:t>Second-level review determination documenting whether mortality or quality indicator assignment is clinically accurate with recommended coding changes, query opportunities, and quality improvement referrals.</w:t>
            </w:r>
          </w:p>
        </w:tc>
        <w:tc>
          <w:tcPr>
            <w:tcW w:type="dxa" w:w="3600"/>
          </w:tcPr>
          <w:p>
            <w:r>
              <w:rPr>
                <w:rFonts w:ascii="Arial" w:hAnsi="Arial"/>
                <w:sz w:val="17"/>
              </w:rPr>
              <w:t>Provide a case where the outcome looks like a deviation from standard of care at first glance but is clinically justified given patient-specific context buried in the history — tests whether the agent over-flags.</w:t>
            </w:r>
          </w:p>
        </w:tc>
        <w:tc>
          <w:tcPr>
            <w:tcW w:type="dxa" w:w="2880"/>
          </w:tcPr>
          <w:p>
            <w:r>
              <w:rPr>
                <w:rFonts w:ascii="Arial" w:hAnsi="Arial"/>
                <w:sz w:val="17"/>
              </w:rPr>
              <w:t>Joint Commission Sentinel Event Policy: https://www.jointcommission.org/resources/patient-safety-topics/sentinel-event/ | AHRQ Patient Safety Indicators: https://qualityindicators.ahrq.gov/measures/PSI_TechSpec</w:t>
            </w:r>
          </w:p>
        </w:tc>
      </w:tr>
      <w:tr>
        <w:tc>
          <w:tcPr>
            <w:tcW w:type="dxa" w:w="792"/>
          </w:tcPr>
          <w:p>
            <w:r>
              <w:rPr>
                <w:rFonts w:ascii="Arial" w:hAnsi="Arial"/>
                <w:b/>
                <w:sz w:val="17"/>
              </w:rPr>
              <w:t>P2</w:t>
            </w:r>
          </w:p>
        </w:tc>
        <w:tc>
          <w:tcPr>
            <w:tcW w:type="dxa" w:w="2016"/>
          </w:tcPr>
          <w:p>
            <w:r>
              <w:rPr>
                <w:rFonts w:ascii="Arial" w:hAnsi="Arial"/>
                <w:sz w:val="17"/>
              </w:rPr>
              <w:t>Obtain Prior Authorization for Provider-Administered Specialty Medications (Pharmacy Benefit)</w:t>
            </w:r>
          </w:p>
        </w:tc>
        <w:tc>
          <w:tcPr>
            <w:tcW w:type="dxa" w:w="3600"/>
          </w:tcPr>
          <w:p>
            <w:r>
              <w:rPr>
                <w:rFonts w:ascii="Arial" w:hAnsi="Arial"/>
                <w:sz w:val="17"/>
              </w:rPr>
              <w:t>Requires coordinating multiple stakeholders, systems, or sequential processes toward a defined outcome, for Obtain Prior Authorization for Provider-Administered Specialty Medications (Pharmacy Benefit), this means managing handoffs, timelines, and information flows across parties so the workflow reaches completion with all dependencies satisfied.</w:t>
            </w:r>
          </w:p>
        </w:tc>
        <w:tc>
          <w:tcPr>
            <w:tcW w:type="dxa" w:w="2736"/>
          </w:tcPr>
          <w:p>
            <w:r>
              <w:rPr>
                <w:rFonts w:ascii="Arial" w:hAnsi="Arial"/>
                <w:sz w:val="17"/>
              </w:rPr>
              <w:t>Prior authorization approval.</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P2</w:t>
            </w:r>
          </w:p>
        </w:tc>
        <w:tc>
          <w:tcPr>
            <w:tcW w:type="dxa" w:w="2016"/>
          </w:tcPr>
          <w:p>
            <w:r>
              <w:rPr>
                <w:rFonts w:ascii="Arial" w:hAnsi="Arial"/>
                <w:sz w:val="17"/>
              </w:rPr>
              <w:t>Outpatient Coding Compliance Audit</w:t>
            </w:r>
          </w:p>
        </w:tc>
        <w:tc>
          <w:tcPr>
            <w:tcW w:type="dxa" w:w="3600"/>
          </w:tcPr>
          <w:p>
            <w:r>
              <w:rPr>
                <w:rFonts w:ascii="Arial" w:hAnsi="Arial"/>
                <w:sz w:val="17"/>
              </w:rPr>
              <w:t>Each audited encounter requires the auditor to independently re-code from clinical documentation, compare against billed codes, and adjudicate discrepancies, determining whether differences constitute errors, acceptable alternatives, or documentation deficiencies. Requires judgment calls on medical necessity, code specificity, sequencing rules, and modifier applicability with potential financial and regulatory consequences.</w:t>
            </w:r>
          </w:p>
        </w:tc>
        <w:tc>
          <w:tcPr>
            <w:tcW w:type="dxa" w:w="2736"/>
          </w:tcPr>
          <w:p>
            <w:r>
              <w:rPr>
                <w:rFonts w:ascii="Arial" w:hAnsi="Arial"/>
                <w:sz w:val="17"/>
              </w:rPr>
              <w:t>Outpatient coding audit report with accuracy rates, E&amp;M level distribution analysis, modifier usage review, NCCI edit compliance, financial impact of identified errors, and coder-specific performance feedback.</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Patient Experience Improvement</w:t>
            </w:r>
          </w:p>
        </w:tc>
        <w:tc>
          <w:tcPr>
            <w:tcW w:type="dxa" w:w="3600"/>
          </w:tcPr>
          <w:p>
            <w:r>
              <w:rPr>
                <w:rFonts w:ascii="Arial" w:hAnsi="Arial"/>
                <w:sz w:val="17"/>
              </w:rPr>
              <w:t>Requires integrating information from multiple disparate sources into a coherent, unified output, for Patient Experience Improvement, this means transforming raw inputs (records, data, precedents) into a structured document that communicates findings, positions, or recommendations.</w:t>
            </w:r>
          </w:p>
        </w:tc>
        <w:tc>
          <w:tcPr>
            <w:tcW w:type="dxa" w:w="2736"/>
          </w:tcPr>
          <w:p>
            <w:r>
              <w:rPr>
                <w:rFonts w:ascii="Arial" w:hAnsi="Arial"/>
                <w:sz w:val="17"/>
              </w:rPr>
              <w:t>Patient experience survey results dataset and performance dashboard/report (e.g., Press Ganey/NRC) with unit/provider-level scores, trends, and comments.</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Patient Financial Estimation and Price Transparency</w:t>
            </w:r>
          </w:p>
        </w:tc>
        <w:tc>
          <w:tcPr>
            <w:tcW w:type="dxa" w:w="3600"/>
          </w:tcPr>
          <w:p>
            <w:r>
              <w:rPr>
                <w:rFonts w:ascii="Arial" w:hAnsi="Arial"/>
                <w:sz w:val="17"/>
              </w:rPr>
              <w:t>The financial counselor must orchestrate data from multiple systems to produce a single patient-facing cost estimate: querying the EHR/practice management system for scheduled procedure codes and provider details, submitting EDI 270 eligibility inquiries or checking payer portals for benefit verification (271 responses), retrieving payer-specific contracted rates from the chargemaster or contract management system, applying benefit accumulators (deductible met-to-date, out-of-pocket amounts applied year-to-date), calculating patient financial responsibility factoring in copay, coinsurance, and remaining deductible, generating the estimate document or populating the patient portal estimate tool, and communicating the estimate to the patient. For multi-service encounters (e.g., a surgical case with surgeon, anesthesiologist, facility, and lab components), the counselor must coordinate estimates across multiple billing entities and cost centers. The workflow requires integration of eligibility clearinghouse data, contract rate tables, chargemaster pricing, benefit accumulator data, and procedure scheduling information into a unified financial projection.</w:t>
            </w:r>
          </w:p>
        </w:tc>
        <w:tc>
          <w:tcPr>
            <w:tcW w:type="dxa" w:w="2736"/>
          </w:tcPr>
          <w:p>
            <w:r>
              <w:rPr>
                <w:rFonts w:ascii="Arial" w:hAnsi="Arial"/>
                <w:sz w:val="17"/>
              </w:rPr>
              <w:t>Patient-facing cost estimate document (Good Faith Estimate) in the patient portal or as a PDF/printout, showing expected insurance payment and estimated patient responsibility.</w:t>
            </w:r>
          </w:p>
        </w:tc>
        <w:tc>
          <w:tcPr>
            <w:tcW w:type="dxa" w:w="3600"/>
          </w:tcPr>
          <w:p>
            <w:r>
              <w:rPr>
                <w:rFonts w:ascii="Arial" w:hAnsi="Arial"/>
                <w:sz w:val="17"/>
              </w:rPr>
              <w:t>Introduce a charge that was captured in one source system (e.g., OR log) but never posted to the chargemaster feed, so the agent must cross-reference systems to find the missing charge rather than just confirm what's already reconciled.</w:t>
            </w:r>
          </w:p>
        </w:tc>
        <w:tc>
          <w:tcPr>
            <w:tcW w:type="dxa" w:w="2880"/>
          </w:tcPr>
          <w:p>
            <w:r>
              <w:rPr>
                <w:rFonts w:ascii="Arial" w:hAnsi="Arial"/>
                <w:sz w:val="17"/>
              </w:rPr>
              <w:t>Hospital chargemaster cross-reference is institution-specific; for CPT/HCPCS code currency see AMA CPT: https://www.ama-assn.org/practice-management/cpt and CMS HCPCS: https://www.cms.gov/medicare/coding-billing/healthcare-common-procedure-system</w:t>
            </w:r>
          </w:p>
        </w:tc>
      </w:tr>
      <w:tr>
        <w:tc>
          <w:tcPr>
            <w:tcW w:type="dxa" w:w="792"/>
          </w:tcPr>
          <w:p>
            <w:r>
              <w:rPr>
                <w:rFonts w:ascii="Arial" w:hAnsi="Arial"/>
                <w:b/>
                <w:sz w:val="17"/>
              </w:rPr>
              <w:t>P2</w:t>
            </w:r>
          </w:p>
        </w:tc>
        <w:tc>
          <w:tcPr>
            <w:tcW w:type="dxa" w:w="2016"/>
          </w:tcPr>
          <w:p>
            <w:r>
              <w:rPr>
                <w:rFonts w:ascii="Arial" w:hAnsi="Arial"/>
                <w:sz w:val="17"/>
              </w:rPr>
              <w:t>Patient Statement Generation and Self-Pay Collections</w:t>
            </w:r>
          </w:p>
        </w:tc>
        <w:tc>
          <w:tcPr>
            <w:tcW w:type="dxa" w:w="3600"/>
          </w:tcPr>
          <w:p>
            <w:r>
              <w:rPr>
                <w:rFonts w:ascii="Arial" w:hAnsi="Arial"/>
                <w:sz w:val="17"/>
              </w:rPr>
              <w:t>Requires coordination across multiple systems (EHR/PMS, clearinghouse, statement vendor, payment portal, collections agency) and decision points (payment plan eligibility, financial assistance qualification, collections escalation timing). The workflow orchestrates data flow between these systems and manages the state machine of each patient account through the collections lifecycle.</w:t>
            </w:r>
          </w:p>
        </w:tc>
        <w:tc>
          <w:tcPr>
            <w:tcW w:type="dxa" w:w="2736"/>
          </w:tcPr>
          <w:p>
            <w:r>
              <w:rPr>
                <w:rFonts w:ascii="Arial" w:hAnsi="Arial"/>
                <w:sz w:val="17"/>
              </w:rPr>
              <w:t>Patient billing statements with itemized charges, insurance payments, remaining balance, and payment options; collection agency referral files; aging reports; and financial assistance screening results.</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P2</w:t>
            </w:r>
          </w:p>
        </w:tc>
        <w:tc>
          <w:tcPr>
            <w:tcW w:type="dxa" w:w="2016"/>
          </w:tcPr>
          <w:p>
            <w:r>
              <w:rPr>
                <w:rFonts w:ascii="Arial" w:hAnsi="Arial"/>
                <w:sz w:val="17"/>
              </w:rPr>
              <w:t>Payer Mix Analysis and Revenue Forecasting</w:t>
            </w:r>
          </w:p>
        </w:tc>
        <w:tc>
          <w:tcPr>
            <w:tcW w:type="dxa" w:w="3600"/>
          </w:tcPr>
          <w:p>
            <w:r>
              <w:rPr>
                <w:rFonts w:ascii="Arial" w:hAnsi="Arial"/>
                <w:sz w:val="17"/>
              </w:rPr>
              <w:t>Requires integrating data from multiple disparate systems (billing/EHR, cost reports, payer contracts, CMS fee schedules, demographic projections) and synthesizing into forward-looking financial models. Involves interpreting regulatory changes, market dynamics, and operational trends to produce actionable revenue projections. Not pure adjudication (no dispute resolution) but goes beyond mechanical execution to require multi-factor synthesis with financial judgment.</w:t>
            </w:r>
          </w:p>
        </w:tc>
        <w:tc>
          <w:tcPr>
            <w:tcW w:type="dxa" w:w="2736"/>
          </w:tcPr>
          <w:p>
            <w:r>
              <w:rPr>
                <w:rFonts w:ascii="Arial" w:hAnsi="Arial"/>
                <w:sz w:val="17"/>
              </w:rPr>
              <w:t>Excel/Sheets financial forecast model workbook (payer mix and revenue scenarios) plus a summarized forecast report/dashboard for leadership.</w:t>
            </w:r>
          </w:p>
        </w:tc>
        <w:tc>
          <w:tcPr>
            <w:tcW w:type="dxa" w:w="3600"/>
          </w:tcPr>
          <w:p>
            <w:r>
              <w:rPr>
                <w:rFonts w:ascii="Arial" w:hAnsi="Arial"/>
                <w:sz w:val="17"/>
              </w:rPr>
              <w:t>Add a recent (post-cutoff) fee schedule or rate change as an attached document so any analysis using old embedded rates becomes detectably wrong if the agent doesn't check the attachment.</w:t>
            </w:r>
          </w:p>
        </w:tc>
        <w:tc>
          <w:tcPr>
            <w:tcW w:type="dxa" w:w="2880"/>
          </w:tcPr>
          <w:p>
            <w:r>
              <w:rPr>
                <w:rFonts w:ascii="Arial" w:hAnsi="Arial"/>
                <w:sz w:val="17"/>
              </w:rPr>
              <w:t>HFMA MAP Keys: https://www.hfma.org/topics/map-keys/ | CMS Fee Schedules: https://www.cms.gov/medicare/payment/fee-schedules</w:t>
            </w:r>
          </w:p>
        </w:tc>
      </w:tr>
      <w:tr>
        <w:tc>
          <w:tcPr>
            <w:tcW w:type="dxa" w:w="792"/>
          </w:tcPr>
          <w:p>
            <w:r>
              <w:rPr>
                <w:rFonts w:ascii="Arial" w:hAnsi="Arial"/>
                <w:b/>
                <w:sz w:val="17"/>
              </w:rPr>
              <w:t>P2</w:t>
            </w:r>
          </w:p>
        </w:tc>
        <w:tc>
          <w:tcPr>
            <w:tcW w:type="dxa" w:w="2016"/>
          </w:tcPr>
          <w:p>
            <w:r>
              <w:rPr>
                <w:rFonts w:ascii="Arial" w:hAnsi="Arial"/>
                <w:sz w:val="17"/>
              </w:rPr>
              <w:t>Payment Integrity</w:t>
            </w:r>
          </w:p>
        </w:tc>
        <w:tc>
          <w:tcPr>
            <w:tcW w:type="dxa" w:w="3600"/>
          </w:tcPr>
          <w:p>
            <w:r>
              <w:rPr>
                <w:rFonts w:ascii="Arial" w:hAnsi="Arial"/>
                <w:sz w:val="17"/>
              </w:rPr>
              <w:t>Requires applying established criteria or standards to specific facts in order to reach a consequential, defensible determination, for Payment Integrity, this means exercising domain expertise to resolve competing interpretations and produce a binding or actionable judgment.</w:t>
            </w:r>
          </w:p>
        </w:tc>
        <w:tc>
          <w:tcPr>
            <w:tcW w:type="dxa" w:w="2736"/>
          </w:tcPr>
          <w:p>
            <w:r>
              <w:rPr>
                <w:rFonts w:ascii="Arial" w:hAnsi="Arial"/>
                <w:sz w:val="17"/>
              </w:rPr>
              <w:t>High-risk claim flags and provider outlier lists, audit target queue, and identified recovery/edit opportunities.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Physician CDI Education Session Delivery and Documentation</w:t>
            </w:r>
          </w:p>
        </w:tc>
        <w:tc>
          <w:tcPr>
            <w:tcW w:type="dxa" w:w="3600"/>
          </w:tcPr>
          <w:p>
            <w:r>
              <w:rPr>
                <w:rFonts w:ascii="Arial" w:hAnsi="Arial"/>
                <w:sz w:val="17"/>
              </w:rPr>
              <w:t>The CDI educator must synthesize multiple data streams, query response rates by physician and department, CC/MCC capture rate trends, case mix index changes, DRG shift analysis, ICD-10 guideline updates, AHA Coding Clinic advisories, and compliance audit findings, to identify education priorities. They must then translate these data-driven priorities into case-based educational content that integrates clinical medicine with coding requirements, regulatory compliance, and quality reporting implications. The synthesis extends to measuring post-education outcomes against baseline metrics to demonstrate education effectiveness and refine future sessions.</w:t>
            </w:r>
          </w:p>
        </w:tc>
        <w:tc>
          <w:tcPr>
            <w:tcW w:type="dxa" w:w="2736"/>
          </w:tcPr>
          <w:p>
            <w:r>
              <w:rPr>
                <w:rFonts w:ascii="Arial" w:hAnsi="Arial"/>
                <w:sz w:val="17"/>
              </w:rPr>
              <w:t>Completed physician education session with presentation materials, attendance documentation, pre/post knowledge assessment, and follow-up action items for documentation improvement.</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P2</w:t>
            </w:r>
          </w:p>
        </w:tc>
        <w:tc>
          <w:tcPr>
            <w:tcW w:type="dxa" w:w="2016"/>
          </w:tcPr>
          <w:p>
            <w:r>
              <w:rPr>
                <w:rFonts w:ascii="Arial" w:hAnsi="Arial"/>
                <w:sz w:val="17"/>
              </w:rPr>
              <w:t>Prior Authorization Appeals</w:t>
            </w:r>
          </w:p>
        </w:tc>
        <w:tc>
          <w:tcPr>
            <w:tcW w:type="dxa" w:w="3600"/>
          </w:tcPr>
          <w:p>
            <w:r>
              <w:rPr>
                <w:rFonts w:ascii="Arial" w:hAnsi="Arial"/>
                <w:sz w:val="17"/>
              </w:rPr>
              <w:t>Requires applying established criteria or standards to specific facts in order to reach a consequential, defensible determination, for Prior Authorization Appeals, this means exercising domain expertise to resolve competing interpretations and produce a binding or actionable judgment.</w:t>
            </w:r>
          </w:p>
        </w:tc>
        <w:tc>
          <w:tcPr>
            <w:tcW w:type="dxa" w:w="2736"/>
          </w:tcPr>
          <w:p>
            <w:r>
              <w:rPr>
                <w:rFonts w:ascii="Arial" w:hAnsi="Arial"/>
                <w:sz w:val="17"/>
              </w:rPr>
              <w:t>Completed drug utilization assessment and whether claim is approved, denied, or sent back to the provider for additional information.</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P2</w:t>
            </w:r>
          </w:p>
        </w:tc>
        <w:tc>
          <w:tcPr>
            <w:tcW w:type="dxa" w:w="2016"/>
          </w:tcPr>
          <w:p>
            <w:r>
              <w:rPr>
                <w:rFonts w:ascii="Arial" w:hAnsi="Arial"/>
                <w:sz w:val="17"/>
              </w:rPr>
              <w:t>Protocol Development</w:t>
            </w:r>
          </w:p>
        </w:tc>
        <w:tc>
          <w:tcPr>
            <w:tcW w:type="dxa" w:w="3600"/>
          </w:tcPr>
          <w:p>
            <w:r>
              <w:rPr>
                <w:rFonts w:ascii="Arial" w:hAnsi="Arial"/>
                <w:sz w:val="17"/>
              </w:rPr>
              <w:t>Requires integrating information from multiple disparate sources into a coherent, unified output, for Protocol Development, this means transforming raw inputs (records, data, precedents) into a structured document that communicates findings, positions, or recommendations.</w:t>
            </w:r>
          </w:p>
        </w:tc>
        <w:tc>
          <w:tcPr>
            <w:tcW w:type="dxa" w:w="2736"/>
          </w:tcPr>
          <w:p>
            <w:r>
              <w:rPr>
                <w:rFonts w:ascii="Arial" w:hAnsi="Arial"/>
                <w:sz w:val="17"/>
              </w:rPr>
              <w:t>Institution-specific clinical protocol/pathway document (guideline) with an accompanying presentation/deck for clinical leadership review and approval.</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Quality Committee Meeting Minutes and Action Item Tracking</w:t>
            </w:r>
          </w:p>
        </w:tc>
        <w:tc>
          <w:tcPr>
            <w:tcW w:type="dxa" w:w="3600"/>
          </w:tcPr>
          <w:p>
            <w:r>
              <w:rPr>
                <w:rFonts w:ascii="Arial" w:hAnsi="Arial"/>
                <w:sz w:val="17"/>
              </w:rPr>
              <w:t>Requires synthesizing information from multiple sources (quality dashboards, incident reports, performance improvement project updates, regulatory compliance data, prior meeting minutes with open action items) into structured meeting materials and coherent minutes; the minute-taker must distill complex clinical and quality discussions into accurate, concise written records while tracking the status of multiple concurrent action items across departments; does not rise to adjudication because the committee members make the judgments and decisions - the minute-taker documents them</w:t>
            </w:r>
          </w:p>
        </w:tc>
        <w:tc>
          <w:tcPr>
            <w:tcW w:type="dxa" w:w="2736"/>
          </w:tcPr>
          <w:p>
            <w:r>
              <w:rPr>
                <w:rFonts w:ascii="Arial" w:hAnsi="Arial"/>
                <w:sz w:val="17"/>
              </w:rPr>
              <w:t>Official quality committee meeting minutes with documented attendance, discussion summaries, data presentations, committee decisions, new and updated action items with owners and deadlines, and approval signatures.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Retrospective Query for Unanswered Concurrent Queries</w:t>
            </w:r>
          </w:p>
        </w:tc>
        <w:tc>
          <w:tcPr>
            <w:tcW w:type="dxa" w:w="3600"/>
          </w:tcPr>
          <w:p>
            <w:r>
              <w:rPr>
                <w:rFonts w:ascii="Arial" w:hAnsi="Arial"/>
                <w:sz w:val="17"/>
              </w:rPr>
              <w:t>The CDI specialist must adjudicate multiple clinical and compliance decisions for each unanswered concurrent query. First, they determine whether the original query is still clinically supported by the complete discharge record or whether new documentation has resolved the gap without a formal query response. Second, they assess whether the retrospective re-query can use the same clinical indicators or must be reformulated based on the complete record. Third, they decide the appropriate query format for retrospective issuance (open-ended vs. multiple-choice) per AHIMA/ACDIS compliance guidance, which differs from concurrent query formats because the physician must recall clinical reasoning rather than respond in real-time. Fourth, they evaluate DRG and quality measure implications to prioritize which unanswered queries warrant retrospective follow-up versus closure without re-query. Each decision requires clinical judgment balanced against compliance risk and revenue impact.</w:t>
            </w:r>
          </w:p>
        </w:tc>
        <w:tc>
          <w:tcPr>
            <w:tcW w:type="dxa" w:w="2736"/>
          </w:tcPr>
          <w:p>
            <w:r>
              <w:rPr>
                <w:rFonts w:ascii="Arial" w:hAnsi="Arial"/>
                <w:sz w:val="17"/>
              </w:rPr>
              <w:t>Retrospective query documentation with re-evaluated clinical indicators, updated DRG impact analysis, and physician outreach record for each unanswered concurrent query.</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P2</w:t>
            </w:r>
          </w:p>
        </w:tc>
        <w:tc>
          <w:tcPr>
            <w:tcW w:type="dxa" w:w="2016"/>
          </w:tcPr>
          <w:p>
            <w:r>
              <w:rPr>
                <w:rFonts w:ascii="Arial" w:hAnsi="Arial"/>
                <w:sz w:val="17"/>
              </w:rPr>
              <w:t>Specialty pharmacy</w:t>
            </w:r>
          </w:p>
        </w:tc>
        <w:tc>
          <w:tcPr>
            <w:tcW w:type="dxa" w:w="3600"/>
          </w:tcPr>
          <w:p>
            <w:r>
              <w:rPr>
                <w:rFonts w:ascii="Arial" w:hAnsi="Arial"/>
                <w:sz w:val="17"/>
              </w:rPr>
              <w:t>The coordinator must orchestrate information and actions across multiple systems and stakeholders: receiving the referral or e-prescription from the prescriber, verifying patient demographics and insurance information, determining whether the medication is covered under the medical benefit (J-code) or pharmacy benefit (NDC), contacting payers to verify eligibility and coverage, identifying prior authorization and step therapy requirements, initiating PA requests, enrolling patients in manufacturer hub programs and copay/PAP assistance, coordinating with prescriber offices for clinical documentation, and communicating coverage and cost information back to the patient. The workflow requires simultaneous navigation of 4-6 different systems per case with multi-party coordination between patient, prescriber, payer, and manufacturer.</w:t>
            </w:r>
          </w:p>
        </w:tc>
        <w:tc>
          <w:tcPr>
            <w:tcW w:type="dxa" w:w="2736"/>
          </w:tcPr>
          <w:p>
            <w:r>
              <w:rPr>
                <w:rFonts w:ascii="Arial" w:hAnsi="Arial"/>
                <w:sz w:val="17"/>
              </w:rPr>
              <w:t>Verified specialty prescription with completed PA (if required), medication dispensed/labeled, counseling documented, adjudicated pharmacy claim.</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Telephonic Prior Authorization Submission</w:t>
            </w:r>
          </w:p>
        </w:tc>
        <w:tc>
          <w:tcPr>
            <w:tcW w:type="dxa" w:w="3600"/>
          </w:tcPr>
          <w:p>
            <w:r>
              <w:rPr>
                <w:rFonts w:ascii="Arial" w:hAnsi="Arial"/>
                <w:sz w:val="17"/>
              </w:rPr>
              <w:t>Requires coordinating multiple stakeholders, systems, or sequential processes toward a defined outcome, for Telephonic Prior Authorization Submission, this means managing handoffs, timelines, and information flows across parties so the workflow reaches completion with all dependencies satisfied.</w:t>
            </w:r>
          </w:p>
        </w:tc>
        <w:tc>
          <w:tcPr>
            <w:tcW w:type="dxa" w:w="2736"/>
          </w:tcPr>
          <w:p>
            <w:r>
              <w:rPr>
                <w:rFonts w:ascii="Arial" w:hAnsi="Arial"/>
                <w:sz w:val="17"/>
              </w:rPr>
              <w:t>Documented telephonic prior authorization case record/call note in the EHR with reference number, questions/answers, and decision status.</w:t>
            </w:r>
          </w:p>
        </w:tc>
        <w:tc>
          <w:tcPr>
            <w:tcW w:type="dxa" w:w="3600"/>
          </w:tcPr>
          <w:p>
            <w:r>
              <w:rPr>
                <w:rFonts w:ascii="Arial" w:hAnsi="Arial"/>
                <w:sz w:val="17"/>
              </w:rPr>
              <w:t>Add a payer policy that changed after the chart's documented date (version-pin the current criteria as an attached file) so the agent must reconcile outdated chart guidance against current payer rules. Embed one borderline medical-necessity criterion that is met on paper but contextually questionable.</w:t>
            </w:r>
          </w:p>
        </w:tc>
        <w:tc>
          <w:tcPr>
            <w:tcW w:type="dxa" w:w="2880"/>
          </w:tcPr>
          <w:p>
            <w:r>
              <w:rPr>
                <w:rFonts w:ascii="Arial" w:hAnsi="Arial"/>
                <w:sz w:val="17"/>
              </w:rPr>
              <w:t>CMS Medicare Coverage Database (LCD/NCD lookup): https://www.cms.gov/medicare-coverage-database/search.aspx | InterQual and MCG (vendor criteria, access via your organization's license) | Project Sanctum tool-use guidance: pair this with a real-time guideline search or literature-retrieval requirement so the agent must use an external tool, not just recall, to justify the determination</w:t>
            </w:r>
          </w:p>
        </w:tc>
      </w:tr>
      <w:tr>
        <w:tc>
          <w:tcPr>
            <w:tcW w:type="dxa" w:w="792"/>
          </w:tcPr>
          <w:p>
            <w:r>
              <w:rPr>
                <w:rFonts w:ascii="Arial" w:hAnsi="Arial"/>
                <w:b/>
                <w:sz w:val="17"/>
              </w:rPr>
              <w:t>P2</w:t>
            </w:r>
          </w:p>
        </w:tc>
        <w:tc>
          <w:tcPr>
            <w:tcW w:type="dxa" w:w="2016"/>
          </w:tcPr>
          <w:p>
            <w:r>
              <w:rPr>
                <w:rFonts w:ascii="Arial" w:hAnsi="Arial"/>
                <w:sz w:val="17"/>
              </w:rPr>
              <w:t>Underpayment and Contract Variance Analysis</w:t>
            </w:r>
          </w:p>
        </w:tc>
        <w:tc>
          <w:tcPr>
            <w:tcW w:type="dxa" w:w="3600"/>
          </w:tcPr>
          <w:p>
            <w:r>
              <w:rPr>
                <w:rFonts w:ascii="Arial" w:hAnsi="Arial"/>
                <w:sz w:val="17"/>
              </w:rPr>
              <w:t>Requires comparing actual payments against contractual terms with multiple reimbursement methodologies (percent of charges, fee schedule, case rate, per diem, DRG-based), determining whether variances constitute true underpayments vs. legitimate adjustments, and deciding appropriate resolution pathways (rebill, appeal, payer outreach, escalation).</w:t>
            </w:r>
          </w:p>
        </w:tc>
        <w:tc>
          <w:tcPr>
            <w:tcW w:type="dxa" w:w="2736"/>
          </w:tcPr>
          <w:p>
            <w:r>
              <w:rPr>
                <w:rFonts w:ascii="Arial" w:hAnsi="Arial"/>
                <w:sz w:val="17"/>
              </w:rPr>
              <w:t>Variance analysis report identifying underpaid claims with expected vs. actual payment amounts, root cause categorization (fee schedule errors, bundling issues, modifier denials), and prioritized recovery action list with estimated recovery amounts.</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Write-Off Analysis and Bad Debt Trending Report</w:t>
            </w:r>
          </w:p>
        </w:tc>
        <w:tc>
          <w:tcPr>
            <w:tcW w:type="dxa" w:w="3600"/>
          </w:tcPr>
          <w:p>
            <w:r>
              <w:rPr>
                <w:rFonts w:ascii="Arial" w:hAnsi="Arial"/>
                <w:sz w:val="17"/>
              </w:rPr>
              <w:t>Requires aggregating data from multiple systems (EHR/billing, GL, payer remittances), classifying write-off categories, performing trend analysis across time periods and payer classes, and synthesizing findings into executive-ready reports with regulatory context</w:t>
            </w:r>
          </w:p>
        </w:tc>
        <w:tc>
          <w:tcPr>
            <w:tcW w:type="dxa" w:w="2736"/>
          </w:tcPr>
          <w:p>
            <w:r>
              <w:rPr>
                <w:rFonts w:ascii="Arial" w:hAnsi="Arial"/>
                <w:sz w:val="17"/>
              </w:rPr>
              <w:t>Write-off analysis and bad debt trending report with categorized write-off breakdowns, month-over-month variance analysis, root cause identification, and recommendations for AR reduction presented to CFO and revenue cycle leadership.</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Blood Bank Compatibility Testing and Transfusion Documentation</w:t>
            </w:r>
          </w:p>
        </w:tc>
        <w:tc>
          <w:tcPr>
            <w:tcW w:type="dxa" w:w="3600"/>
          </w:tcPr>
          <w:p>
            <w:r>
              <w:rPr>
                <w:rFonts w:ascii="Arial" w:hAnsi="Arial"/>
                <w:sz w:val="17"/>
              </w:rPr>
              <w:t>Requires rule-based decision-making with clinical judgment at key branch points - antibody identification drives crossmatch method selection (electronic vs. serologic), discrepancy resolution requires expert interpretation, and transfusion reaction workup demands diagnostic reasoning.</w:t>
            </w:r>
          </w:p>
        </w:tc>
        <w:tc>
          <w:tcPr>
            <w:tcW w:type="dxa" w:w="2736"/>
          </w:tcPr>
          <w:p>
            <w:r>
              <w:rPr>
                <w:rFonts w:ascii="Arial" w:hAnsi="Arial"/>
                <w:sz w:val="17"/>
              </w:rPr>
              <w:t>Completed crossmatch and compatibility testing results with documented transfusion record including two-person patient ID verification, vital signs monitoring, and any adverse reaction documentation.</w:t>
            </w:r>
          </w:p>
        </w:tc>
        <w:tc>
          <w:tcPr>
            <w:tcW w:type="dxa" w:w="3600"/>
          </w:tcPr>
          <w:p>
            <w:r>
              <w:rPr>
                <w:rFonts w:ascii="Arial" w:hAnsi="Arial"/>
                <w:sz w:val="17"/>
              </w:rPr>
              <w:t>Include an antibody identification result that complicates straightforward crossmatching, requiring the agent to reason through an alternative testing pathway.</w:t>
            </w:r>
          </w:p>
        </w:tc>
        <w:tc>
          <w:tcPr>
            <w:tcW w:type="dxa" w:w="2880"/>
          </w:tcPr>
          <w:p>
            <w:r>
              <w:rPr>
                <w:rFonts w:ascii="Arial" w:hAnsi="Arial"/>
                <w:sz w:val="17"/>
              </w:rPr>
              <w:t>AABB Standards for Blood Banks (vendor) | FDA Blood Safety guidance: https://www.fda.gov/vaccines-blood-biologics/safety-availability-biologics/blood-safety-and-availability</w:t>
            </w:r>
          </w:p>
        </w:tc>
      </w:tr>
      <w:tr>
        <w:tc>
          <w:tcPr>
            <w:tcW w:type="dxa" w:w="792"/>
          </w:tcPr>
          <w:p>
            <w:r>
              <w:rPr>
                <w:rFonts w:ascii="Arial" w:hAnsi="Arial"/>
                <w:b/>
                <w:sz w:val="17"/>
              </w:rPr>
              <w:t>P2</w:t>
            </w:r>
          </w:p>
        </w:tc>
        <w:tc>
          <w:tcPr>
            <w:tcW w:type="dxa" w:w="2016"/>
          </w:tcPr>
          <w:p>
            <w:r>
              <w:rPr>
                <w:rFonts w:ascii="Arial" w:hAnsi="Arial"/>
                <w:sz w:val="17"/>
              </w:rPr>
              <w:t>CAP/CLIA Laboratory Accreditation Inspection Preparation</w:t>
            </w:r>
          </w:p>
        </w:tc>
        <w:tc>
          <w:tcPr>
            <w:tcW w:type="dxa" w:w="3600"/>
          </w:tcPr>
          <w:p>
            <w:r>
              <w:rPr>
                <w:rFonts w:ascii="Arial" w:hAnsi="Arial"/>
                <w:sz w:val="17"/>
              </w:rPr>
              <w:t>Requires coordinating multiple parallel workstreams across all laboratory sections and disciplines; the laboratory quality manager must orchestrate checklist-based compliance assessments across 21 discipline-specific checklists, coordinate proficiency testing enrollment and attestation across all testing areas, manage personnel competency assessment documentation for all laboratory staff, ensure procedure manual currency across hundreds of SOPs, track equipment maintenance and validation records, compile quality control data, prepare books of evidence for each checklist, and synthesize section-level compliance status into an integrated laboratory readiness assessment for the laboratory director and hospital administration</w:t>
            </w:r>
          </w:p>
        </w:tc>
        <w:tc>
          <w:tcPr>
            <w:tcW w:type="dxa" w:w="2736"/>
          </w:tcPr>
          <w:p>
            <w:r>
              <w:rPr>
                <w:rFonts w:ascii="Arial" w:hAnsi="Arial"/>
                <w:sz w:val="17"/>
              </w:rPr>
              <w:t>Inspection-ready evidence binders organized by CAP checklist section with comprehensive readiness assessment report and gap analysis documentation.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DEA Controlled Substance Inventory and Compliance Documentation</w:t>
            </w:r>
          </w:p>
        </w:tc>
        <w:tc>
          <w:tcPr>
            <w:tcW w:type="dxa" w:w="3600"/>
          </w:tcPr>
          <w:p>
            <w:r>
              <w:rPr>
                <w:rFonts w:ascii="Arial" w:hAnsi="Arial"/>
                <w:sz w:val="17"/>
              </w:rPr>
              <w:t>The workflow follows well-defined regulatory procedures (21 CFR Part 1304). Steps are largely mechanical, counting substances, comparing against records, completing standardized forms, and filing with DEA. Judgment is needed for discrepancy investigation and red-flag identification, but the procedures themselves are prescribed.</w:t>
            </w:r>
          </w:p>
        </w:tc>
        <w:tc>
          <w:tcPr>
            <w:tcW w:type="dxa" w:w="2736"/>
          </w:tcPr>
          <w:p>
            <w:r>
              <w:rPr>
                <w:rFonts w:ascii="Arial" w:hAnsi="Arial"/>
                <w:sz w:val="17"/>
              </w:rPr>
              <w:t>Controlled substance inventory reconciliation report, variance analysis (received vs. dispensed vs. on-hand), DEA biennial inventory documentation, waste documentation audit results, and investigation reports for discrepancies.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Healthcare Compliance Policy and Procedure Update</w:t>
            </w:r>
          </w:p>
        </w:tc>
        <w:tc>
          <w:tcPr>
            <w:tcW w:type="dxa" w:w="3600"/>
          </w:tcPr>
          <w:p>
            <w:r>
              <w:rPr>
                <w:rFonts w:ascii="Arial" w:hAnsi="Arial"/>
                <w:sz w:val="17"/>
              </w:rPr>
              <w:t>Requires synthesizing multiple regulatory sources (federal regulations, accreditation standards, state laws, CMS interpretive guidelines) into coherent institutional policies that are both legally compliant and operationally practical. The compliance officer must reconcile potentially conflicting requirements across CMS CoPs, Joint Commission standards, and state regulations, determine which existing policies are affected, draft new or revised policy language, and coordinate review with clinical and legal stakeholders. While significant judgment is required, the work follows established regulatory frameworks and institutional policy templates rather than requiring novel strategic decisions.</w:t>
            </w:r>
          </w:p>
        </w:tc>
        <w:tc>
          <w:tcPr>
            <w:tcW w:type="dxa" w:w="2736"/>
          </w:tcPr>
          <w:p>
            <w:r>
              <w:rPr>
                <w:rFonts w:ascii="Arial" w:hAnsi="Arial"/>
                <w:sz w:val="17"/>
              </w:rPr>
              <w:t>Updated compliance policies with tracked changes, regulatory crosswalk documentation, policy approval workflow records, staff communication/training materials, and compliance calendar with review deadlines.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HEDIS Hybrid Measure Medical Record Retrieval Coordination</w:t>
            </w:r>
          </w:p>
        </w:tc>
        <w:tc>
          <w:tcPr>
            <w:tcW w:type="dxa" w:w="3600"/>
          </w:tcPr>
          <w:p>
            <w:r>
              <w:rPr>
                <w:rFonts w:ascii="Arial" w:hAnsi="Arial"/>
                <w:sz w:val="17"/>
              </w:rPr>
              <w:t>Multi-party coordination across health plan staff, retrieval vendors (CIOX/Datavant, Cotiviti, Advantmed), hundreds of provider offices, and internal abstraction teams. Requires managing parallel workstreams across multiple measures and provider sites, adapting outreach strategies based on response patterns, and maintaining real-time visibility into retrieval progress against NCQA deadlines.</w:t>
            </w:r>
          </w:p>
        </w:tc>
        <w:tc>
          <w:tcPr>
            <w:tcW w:type="dxa" w:w="2736"/>
          </w:tcPr>
          <w:p>
            <w:r>
              <w:rPr>
                <w:rFonts w:ascii="Arial" w:hAnsi="Arial"/>
                <w:sz w:val="17"/>
              </w:rPr>
              <w:t>Retrieved, indexed, and quality-checked medical records organized by HEDIS measure and member, ready for abstraction with chase completion rates and provider response tracking report.</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P2</w:t>
            </w:r>
          </w:p>
        </w:tc>
        <w:tc>
          <w:tcPr>
            <w:tcW w:type="dxa" w:w="2016"/>
          </w:tcPr>
          <w:p>
            <w:r>
              <w:rPr>
                <w:rFonts w:ascii="Arial" w:hAnsi="Arial"/>
                <w:sz w:val="17"/>
              </w:rPr>
              <w:t>Laboratory Test Method Validation/Verification Study</w:t>
            </w:r>
          </w:p>
        </w:tc>
        <w:tc>
          <w:tcPr>
            <w:tcW w:type="dxa" w:w="3600"/>
          </w:tcPr>
          <w:p>
            <w:r>
              <w:rPr>
                <w:rFonts w:ascii="Arial" w:hAnsi="Arial"/>
                <w:sz w:val="17"/>
              </w:rPr>
              <w:t>Requires coordinating multiple sequential experimental phases (precision, accuracy, linearity, reportable range, reference interval verification), integrating data from instruments, comparing against manufacturer claims, and producing a compliant regulatory document. Judgment is needed in interpreting borderline results and determining corrective actions.</w:t>
            </w:r>
          </w:p>
        </w:tc>
        <w:tc>
          <w:tcPr>
            <w:tcW w:type="dxa" w:w="2736"/>
          </w:tcPr>
          <w:p>
            <w:r>
              <w:rPr>
                <w:rFonts w:ascii="Arial" w:hAnsi="Arial"/>
                <w:sz w:val="17"/>
              </w:rPr>
              <w:t>Method validation/verification study report with precision (within-run, between-run, total), accuracy/bias assessment, analytical measurement range/linearity, reference interval verification, and laboratory director approval for clinical use.</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MIPS Quality Performance Measure Selection and Submission Coordination</w:t>
            </w:r>
          </w:p>
        </w:tc>
        <w:tc>
          <w:tcPr>
            <w:tcW w:type="dxa" w:w="3600"/>
          </w:tcPr>
          <w:p>
            <w:r>
              <w:rPr>
                <w:rFonts w:ascii="Arial" w:hAnsi="Arial"/>
                <w:sz w:val="17"/>
              </w:rPr>
              <w:t>Requires coordinating across EHR systems, CMS portals, specialty society guidelines, and multiple clinician stakeholders to select optimal measures, monitor data completeness, and submit on deadline</w:t>
            </w:r>
          </w:p>
        </w:tc>
        <w:tc>
          <w:tcPr>
            <w:tcW w:type="dxa" w:w="2736"/>
          </w:tcPr>
          <w:p>
            <w:r>
              <w:rPr>
                <w:rFonts w:ascii="Arial" w:hAnsi="Arial"/>
                <w:sz w:val="17"/>
              </w:rPr>
              <w:t>Finalized MIPS measure selection plan with chosen measures, collection methodology, responsible parties, monitoring schedule, and completed performance data submission to CMS QPP portal by March 31 deadline.</w:t>
            </w:r>
          </w:p>
        </w:tc>
        <w:tc>
          <w:tcPr>
            <w:tcW w:type="dxa" w:w="3600"/>
          </w:tcPr>
          <w:p>
            <w:r>
              <w:rPr>
                <w:rFonts w:ascii="Arial" w:hAnsi="Arial"/>
                <w:sz w:val="17"/>
              </w:rPr>
              <w:t>Include one missing or out-of-window required safety check (e.g., a monitoring lab drawn slightly outside the compliant window) so the agent must catch a compliance gap rather than confirm a clean record.</w:t>
            </w:r>
          </w:p>
        </w:tc>
        <w:tc>
          <w:tcPr>
            <w:tcW w:type="dxa" w:w="2880"/>
          </w:tcPr>
          <w:p>
            <w:r>
              <w:rPr>
                <w:rFonts w:ascii="Arial" w:hAnsi="Arial"/>
                <w:sz w:val="17"/>
              </w:rPr>
              <w:t>DEA Diversion Control Division: https://www.deadiversion.usdoj.gov/ | iPLEDGE REMS program: https://www.ipledgeprogram.com/ | FDA REMS database: https://www.accessdata.fda.gov/scripts/cder/rems/index.cfm</w:t>
            </w:r>
          </w:p>
        </w:tc>
      </w:tr>
      <w:tr>
        <w:tc>
          <w:tcPr>
            <w:tcW w:type="dxa" w:w="792"/>
          </w:tcPr>
          <w:p>
            <w:r>
              <w:rPr>
                <w:rFonts w:ascii="Arial" w:hAnsi="Arial"/>
                <w:b/>
                <w:sz w:val="17"/>
              </w:rPr>
              <w:t>P2</w:t>
            </w:r>
          </w:p>
        </w:tc>
        <w:tc>
          <w:tcPr>
            <w:tcW w:type="dxa" w:w="2016"/>
          </w:tcPr>
          <w:p>
            <w:r>
              <w:rPr>
                <w:rFonts w:ascii="Arial" w:hAnsi="Arial"/>
                <w:sz w:val="17"/>
              </w:rPr>
              <w:t>Peer Review Case Preparation and Committee Support Documentation</w:t>
            </w:r>
          </w:p>
        </w:tc>
        <w:tc>
          <w:tcPr>
            <w:tcW w:type="dxa" w:w="3600"/>
          </w:tcPr>
          <w:p>
            <w:r>
              <w:rPr>
                <w:rFonts w:ascii="Arial" w:hAnsi="Arial"/>
                <w:sz w:val="17"/>
              </w:rPr>
              <w:t>Involves multi-source data gathering from EMR, incident reports, and regulatory databases; synthesizing clinical timelines; preparing structured case summaries; and supporting committee deliberation with organized documentation.</w:t>
            </w:r>
          </w:p>
        </w:tc>
        <w:tc>
          <w:tcPr>
            <w:tcW w:type="dxa" w:w="2736"/>
          </w:tcPr>
          <w:p>
            <w:r>
              <w:rPr>
                <w:rFonts w:ascii="Arial" w:hAnsi="Arial"/>
                <w:sz w:val="17"/>
              </w:rPr>
              <w:t>Structured peer review case summary with de-identified clinical timeline, standard-of-care analysis, literature references, committee presentation materials, and documented committee determination with recommended actions.</w:t>
            </w:r>
          </w:p>
        </w:tc>
        <w:tc>
          <w:tcPr>
            <w:tcW w:type="dxa" w:w="3600"/>
          </w:tcPr>
          <w:p>
            <w:r>
              <w:rPr>
                <w:rFonts w:ascii="Arial" w:hAnsi="Arial"/>
                <w:sz w:val="17"/>
              </w:rPr>
              <w:t>Provide a case where the outcome looks like a deviation from standard of care at first glance but is clinically justified given patient-specific context buried in the history — tests whether the agent over-flags.</w:t>
            </w:r>
          </w:p>
        </w:tc>
        <w:tc>
          <w:tcPr>
            <w:tcW w:type="dxa" w:w="2880"/>
          </w:tcPr>
          <w:p>
            <w:r>
              <w:rPr>
                <w:rFonts w:ascii="Arial" w:hAnsi="Arial"/>
                <w:sz w:val="17"/>
              </w:rPr>
              <w:t>Joint Commission Sentinel Event Policy: https://www.jointcommission.org/resources/patient-safety-topics/sentinel-event/ | AHRQ Patient Safety Indicators: https://qualityindicators.ahrq.gov/measures/PSI_TechSpec</w:t>
            </w:r>
          </w:p>
        </w:tc>
      </w:tr>
      <w:tr>
        <w:tc>
          <w:tcPr>
            <w:tcW w:type="dxa" w:w="792"/>
          </w:tcPr>
          <w:p>
            <w:r>
              <w:rPr>
                <w:rFonts w:ascii="Arial" w:hAnsi="Arial"/>
                <w:b/>
                <w:sz w:val="17"/>
              </w:rPr>
              <w:t>P2</w:t>
            </w:r>
          </w:p>
        </w:tc>
        <w:tc>
          <w:tcPr>
            <w:tcW w:type="dxa" w:w="2016"/>
          </w:tcPr>
          <w:p>
            <w:r>
              <w:rPr>
                <w:rFonts w:ascii="Arial" w:hAnsi="Arial"/>
                <w:sz w:val="17"/>
              </w:rPr>
              <w:t>Physician Query Escalation to Physician Advisor</w:t>
            </w:r>
          </w:p>
        </w:tc>
        <w:tc>
          <w:tcPr>
            <w:tcW w:type="dxa" w:w="3600"/>
          </w:tcPr>
          <w:p>
            <w:r>
              <w:rPr>
                <w:rFonts w:ascii="Arial" w:hAnsi="Arial"/>
                <w:sz w:val="17"/>
              </w:rPr>
              <w:t>The Physician Advisor must adjudicate between the CDI specialist's clinical suspicion and the treating physician's documentation, applying evidence-based guidelines and clinical judgment to determine whether additional documentation is warranted.</w:t>
            </w:r>
          </w:p>
        </w:tc>
        <w:tc>
          <w:tcPr>
            <w:tcW w:type="dxa" w:w="2736"/>
          </w:tcPr>
          <w:p>
            <w:r>
              <w:rPr>
                <w:rFonts w:ascii="Arial" w:hAnsi="Arial"/>
                <w:sz w:val="17"/>
              </w:rPr>
              <w:t>Physician advisor consultation documentation with clinical opinion, recommended documentation language, escalation outcome, and DRG impact summary communicated back to CDI specialist and attending physician.</w:t>
            </w:r>
          </w:p>
        </w:tc>
        <w:tc>
          <w:tcPr>
            <w:tcW w:type="dxa" w:w="3600"/>
          </w:tcPr>
          <w:p>
            <w:r>
              <w:rPr>
                <w:rFonts w:ascii="Arial" w:hAnsi="Arial"/>
                <w:sz w:val="17"/>
              </w:rPr>
              <w:t>Include clinical indicators that support a higher-severity diagnosis than what's documented, but only when cross-referenced across multiple note types (vitals trend, labs, nursing notes) — the gap should not be visible in any single document.</w:t>
            </w:r>
          </w:p>
        </w:tc>
        <w:tc>
          <w:tcPr>
            <w:tcW w:type="dxa" w:w="2880"/>
          </w:tcPr>
          <w:p>
            <w:r>
              <w:rPr>
                <w:rFonts w:ascii="Arial" w:hAnsi="Arial"/>
                <w:sz w:val="17"/>
              </w:rPr>
              <w:t>AHIMA/ACDIS Guidelines for Achieving a Compliant Query Practice: https://www.ahima.org/landing-pages/ahima-acdis-guidelines-for-achieving-a-compliant-query-practice/ | ACDIS resource library: https://acdis.org/resources</w:t>
            </w:r>
          </w:p>
        </w:tc>
      </w:tr>
      <w:tr>
        <w:tc>
          <w:tcPr>
            <w:tcW w:type="dxa" w:w="792"/>
          </w:tcPr>
          <w:p>
            <w:r>
              <w:rPr>
                <w:rFonts w:ascii="Arial" w:hAnsi="Arial"/>
                <w:b/>
                <w:sz w:val="17"/>
              </w:rPr>
              <w:t>P2</w:t>
            </w:r>
          </w:p>
        </w:tc>
        <w:tc>
          <w:tcPr>
            <w:tcW w:type="dxa" w:w="2016"/>
          </w:tcPr>
          <w:p>
            <w:r>
              <w:rPr>
                <w:rFonts w:ascii="Arial" w:hAnsi="Arial"/>
                <w:sz w:val="17"/>
              </w:rPr>
              <w:t>Proficiency Testing Analysis and Corrective Action</w:t>
            </w:r>
          </w:p>
        </w:tc>
        <w:tc>
          <w:tcPr>
            <w:tcW w:type="dxa" w:w="3600"/>
          </w:tcPr>
          <w:p>
            <w:r>
              <w:rPr>
                <w:rFonts w:ascii="Arial" w:hAnsi="Arial"/>
                <w:sz w:val="17"/>
              </w:rPr>
              <w:t>Requires judgment to determine root causes of PT failures, assess severity and patient impact, select appropriate corrective actions from multiple options, and decide whether remediation is sufficient to prevent recurrence</w:t>
            </w:r>
          </w:p>
        </w:tc>
        <w:tc>
          <w:tcPr>
            <w:tcW w:type="dxa" w:w="2736"/>
          </w:tcPr>
          <w:p>
            <w:r>
              <w:rPr>
                <w:rFonts w:ascii="Arial" w:hAnsi="Arial"/>
                <w:sz w:val="17"/>
              </w:rPr>
              <w:t>PT event analysis report with results comparison to peer group, satisfactory/unsatisfactory determination, root cause analysis for failures, corrective action plan with timeline, and laboratory director attestation.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RAC/MAC Audit Response Preparation</w:t>
            </w:r>
          </w:p>
        </w:tc>
        <w:tc>
          <w:tcPr>
            <w:tcW w:type="dxa" w:w="3600"/>
          </w:tcPr>
          <w:p>
            <w:r>
              <w:rPr>
                <w:rFonts w:ascii="Arial" w:hAnsi="Arial"/>
                <w:sz w:val="17"/>
              </w:rPr>
              <w:t>Requires synthesizing clinical documentation from the EHR, coding data from the billing system, Medicare coverage policies (LCDs/NCDs), CMS audit program requirements, and the Two-Midnight Rule into a coherent audit response that demonstrates medical necessity and billing accuracy. Must correlate physician documentation with billed DRG/CPT codes and anticipate auditor review criteria to assemble the most defensible record package</w:t>
            </w:r>
          </w:p>
        </w:tc>
        <w:tc>
          <w:tcPr>
            <w:tcW w:type="dxa" w:w="2736"/>
          </w:tcPr>
          <w:p>
            <w:r>
              <w:rPr>
                <w:rFonts w:ascii="Arial" w:hAnsi="Arial"/>
                <w:sz w:val="17"/>
              </w:rPr>
              <w:t>Audit response package including cover letter, medical record documentation, coding rationale with guideline citations, clinical documentation supporting medical necessity, and appeal tracking log with deadlines.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Remittance Advice Discrepancy Investigation</w:t>
            </w:r>
          </w:p>
        </w:tc>
        <w:tc>
          <w:tcPr>
            <w:tcW w:type="dxa" w:w="3600"/>
          </w:tcPr>
          <w:p>
            <w:r>
              <w:rPr>
                <w:rFonts w:ascii="Arial" w:hAnsi="Arial"/>
                <w:sz w:val="17"/>
              </w:rPr>
              <w:t>Each discrepancy requires a determination: is the payer payment correct or incorrect? The investigator must adjudicate between multiple possible explanations for the payment variance, contractual adjustment, coordination of benefits, bundling edit, fee schedule error, authorization issue, coding error, or legitimate underpayment, and select the appropriate resolution pathway. This requires interpreting contract language, understanding payer adjudication logic, and applying precedent from similar prior discrepancies.</w:t>
            </w:r>
          </w:p>
        </w:tc>
        <w:tc>
          <w:tcPr>
            <w:tcW w:type="dxa" w:w="2736"/>
          </w:tcPr>
          <w:p>
            <w:r>
              <w:rPr>
                <w:rFonts w:ascii="Arial" w:hAnsi="Arial"/>
                <w:sz w:val="17"/>
              </w:rPr>
              <w:t>Documented investigation finding for each remittance discrepancy with root cause determination, corrective action taken (appeal, rebill, adjustment), and recovered or written-off amount.</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REMS (Risk Evaluation and Mitigation Strategy) Program Administration</w:t>
            </w:r>
          </w:p>
        </w:tc>
        <w:tc>
          <w:tcPr>
            <w:tcW w:type="dxa" w:w="3600"/>
          </w:tcPr>
          <w:p>
            <w:r>
              <w:rPr>
                <w:rFonts w:ascii="Arial" w:hAnsi="Arial"/>
                <w:sz w:val="17"/>
              </w:rPr>
              <w:t>Requires coordinating across multiple REMS program portals, EHR systems, pharmacy dispensing systems, prescriber certification databases, and patient registries, each with unique requirements and timelines</w:t>
            </w:r>
          </w:p>
        </w:tc>
        <w:tc>
          <w:tcPr>
            <w:tcW w:type="dxa" w:w="2736"/>
          </w:tcPr>
          <w:p>
            <w:r>
              <w:rPr>
                <w:rFonts w:ascii="Arial" w:hAnsi="Arial"/>
                <w:sz w:val="17"/>
              </w:rPr>
              <w:t>REMS compliance documentation including patient enrollment verification, prescriber/dispenser certification status, required monitoring results (labs, counseling), dispensing authorization records, and REMS program metric reports.</w:t>
            </w:r>
          </w:p>
        </w:tc>
        <w:tc>
          <w:tcPr>
            <w:tcW w:type="dxa" w:w="3600"/>
          </w:tcPr>
          <w:p>
            <w:r>
              <w:rPr>
                <w:rFonts w:ascii="Arial" w:hAnsi="Arial"/>
                <w:sz w:val="17"/>
              </w:rPr>
              <w:t>Include one missing or out-of-window required safety check (e.g., a monitoring lab drawn slightly outside the compliant window) so the agent must catch a compliance gap rather than confirm a clean record.</w:t>
            </w:r>
          </w:p>
        </w:tc>
        <w:tc>
          <w:tcPr>
            <w:tcW w:type="dxa" w:w="2880"/>
          </w:tcPr>
          <w:p>
            <w:r>
              <w:rPr>
                <w:rFonts w:ascii="Arial" w:hAnsi="Arial"/>
                <w:sz w:val="17"/>
              </w:rPr>
              <w:t>DEA Diversion Control Division: https://www.deadiversion.usdoj.gov/ | iPLEDGE REMS program: https://www.ipledgeprogram.com/ | FDA REMS database: https://www.accessdata.fda.gov/scripts/cder/rems/index.cfm</w:t>
            </w:r>
          </w:p>
        </w:tc>
      </w:tr>
      <w:tr>
        <w:tc>
          <w:tcPr>
            <w:tcW w:type="dxa" w:w="792"/>
          </w:tcPr>
          <w:p>
            <w:r>
              <w:rPr>
                <w:rFonts w:ascii="Arial" w:hAnsi="Arial"/>
                <w:b/>
                <w:sz w:val="17"/>
              </w:rPr>
              <w:t>P2</w:t>
            </w:r>
          </w:p>
        </w:tc>
        <w:tc>
          <w:tcPr>
            <w:tcW w:type="dxa" w:w="2016"/>
          </w:tcPr>
          <w:p>
            <w:r>
              <w:rPr>
                <w:rFonts w:ascii="Arial" w:hAnsi="Arial"/>
                <w:sz w:val="17"/>
              </w:rPr>
              <w:t>Specimen Chain of Custody Documentation</w:t>
            </w:r>
          </w:p>
        </w:tc>
        <w:tc>
          <w:tcPr>
            <w:tcW w:type="dxa" w:w="3600"/>
          </w:tcPr>
          <w:p>
            <w:r>
              <w:rPr>
                <w:rFonts w:ascii="Arial" w:hAnsi="Arial"/>
                <w:sz w:val="17"/>
              </w:rPr>
              <w:t>Follows well-defined regulatory procedures (CLIA, CAP, SAMHSA 49 CFR Part 40) with standardized forms and checklists. Minimal novel judgment required; the challenge is consistent, error-free execution at high volume across multiple handoff points.</w:t>
            </w:r>
          </w:p>
        </w:tc>
        <w:tc>
          <w:tcPr>
            <w:tcW w:type="dxa" w:w="2736"/>
          </w:tcPr>
          <w:p>
            <w:r>
              <w:rPr>
                <w:rFonts w:ascii="Arial" w:hAnsi="Arial"/>
                <w:sz w:val="17"/>
              </w:rPr>
              <w:t>Complete chain of custody documentation trail from specimen collection through final result reporting with signed transfer records at each custody exchange point.</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ALJ Consultation</w:t>
            </w:r>
          </w:p>
        </w:tc>
        <w:tc>
          <w:tcPr>
            <w:tcW w:type="dxa" w:w="3600"/>
          </w:tcPr>
          <w:p>
            <w:r>
              <w:rPr>
                <w:rFonts w:ascii="Arial" w:hAnsi="Arial"/>
                <w:sz w:val="17"/>
              </w:rPr>
              <w:t>Requires applying established criteria or standards to specific facts in order to reach a consequential, defensible determination, for ALJ Consultation, this means exercising domain expertise to resolve competing interpretations and produce a binding or actionable judgment.</w:t>
            </w:r>
          </w:p>
        </w:tc>
        <w:tc>
          <w:tcPr>
            <w:tcW w:type="dxa" w:w="2736"/>
          </w:tcPr>
          <w:p>
            <w:r>
              <w:rPr>
                <w:rFonts w:ascii="Arial" w:hAnsi="Arial"/>
                <w:sz w:val="17"/>
              </w:rPr>
              <w:t>ALJ appeal case summary and clinical opinion documenting medical necessity rationale aligned to payer/CMS policy.</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Build and maintain EHR</w:t>
            </w:r>
          </w:p>
        </w:tc>
        <w:tc>
          <w:tcPr>
            <w:tcW w:type="dxa" w:w="3600"/>
          </w:tcPr>
          <w:p>
            <w:r>
              <w:rPr>
                <w:rFonts w:ascii="Arial" w:hAnsi="Arial"/>
                <w:sz w:val="17"/>
              </w:rPr>
              <w:t>Requires performing a defined, repeatable sequence of steps following established protocols with minimal independent judgment, for Build and maintain EHR, this means completing structured tasks accurately and efficiently within a predefined system or process.</w:t>
            </w:r>
          </w:p>
        </w:tc>
        <w:tc>
          <w:tcPr>
            <w:tcW w:type="dxa" w:w="2736"/>
          </w:tcPr>
          <w:p>
            <w:r>
              <w:rPr>
                <w:rFonts w:ascii="Arial" w:hAnsi="Arial"/>
                <w:sz w:val="17"/>
              </w:rPr>
              <w:t>Epic tools to increase user satisfaction and reduce any documentation fatigue for users.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Coordination of Quality Reporting Submission</w:t>
            </w:r>
          </w:p>
        </w:tc>
        <w:tc>
          <w:tcPr>
            <w:tcW w:type="dxa" w:w="3600"/>
          </w:tcPr>
          <w:p>
            <w:r>
              <w:rPr>
                <w:rFonts w:ascii="Arial" w:hAnsi="Arial"/>
                <w:sz w:val="17"/>
              </w:rPr>
              <w:t>Requires coordinating multiple stakeholders, systems, or sequential processes toward a defined outcome, for Coordination of Quality Reporting Submission, this means managing handoffs, timelines, and information flows across parties so the workflow reaches completion with all dependencies satisfied.</w:t>
            </w:r>
          </w:p>
        </w:tc>
        <w:tc>
          <w:tcPr>
            <w:tcW w:type="dxa" w:w="2736"/>
          </w:tcPr>
          <w:p>
            <w:r>
              <w:rPr>
                <w:rFonts w:ascii="Arial" w:hAnsi="Arial"/>
                <w:sz w:val="17"/>
              </w:rPr>
              <w:t>The workflow produces the files for specific quality measures that are submitted to agencies.</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Denial / Rejection Reports</w:t>
            </w:r>
          </w:p>
        </w:tc>
        <w:tc>
          <w:tcPr>
            <w:tcW w:type="dxa" w:w="3600"/>
          </w:tcPr>
          <w:p>
            <w:r>
              <w:rPr>
                <w:rFonts w:ascii="Arial" w:hAnsi="Arial"/>
                <w:sz w:val="17"/>
              </w:rPr>
              <w:t>Requires integrating information from multiple disparate sources into a coherent, unified output, for Denial / Rejection Reports, this means transforming raw inputs (records, data, precedents) into a structured document that communicates findings, positions, or recommendations.</w:t>
            </w:r>
          </w:p>
        </w:tc>
        <w:tc>
          <w:tcPr>
            <w:tcW w:type="dxa" w:w="2736"/>
          </w:tcPr>
          <w:p>
            <w:r>
              <w:rPr>
                <w:rFonts w:ascii="Arial" w:hAnsi="Arial"/>
                <w:sz w:val="17"/>
              </w:rPr>
              <w:t>Updated denial workqueue notes and status; corrected claim resubmission or appeal packet submitted with supporting documentation.</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P2</w:t>
            </w:r>
          </w:p>
        </w:tc>
        <w:tc>
          <w:tcPr>
            <w:tcW w:type="dxa" w:w="2016"/>
          </w:tcPr>
          <w:p>
            <w:r>
              <w:rPr>
                <w:rFonts w:ascii="Arial" w:hAnsi="Arial"/>
                <w:sz w:val="17"/>
              </w:rPr>
              <w:t>Excel - used excell to develop database to monitor SSA cases through life cycle - including inital acceptance of cases, assigned provider, dates of judge review, case closure and payment to providers</w:t>
            </w:r>
          </w:p>
        </w:tc>
        <w:tc>
          <w:tcPr>
            <w:tcW w:type="dxa" w:w="3600"/>
          </w:tcPr>
          <w:p>
            <w:r>
              <w:rPr>
                <w:rFonts w:ascii="Arial" w:hAnsi="Arial"/>
                <w:sz w:val="17"/>
              </w:rPr>
              <w:t>Requires performing a defined, repeatable sequence of steps following established protocols with minimal independent judgment, for Excel - used excell to develop database to monitor SSA cases through life cycle - including inital acceptance of cases, assigned provider, dates of judge review, case closure and payment to providers, this means completing structured tasks accurately and efficiently within a predefined system or process.</w:t>
            </w:r>
          </w:p>
        </w:tc>
        <w:tc>
          <w:tcPr>
            <w:tcW w:type="dxa" w:w="2736"/>
          </w:tcPr>
          <w:p>
            <w:r>
              <w:rPr>
                <w:rFonts w:ascii="Arial" w:hAnsi="Arial"/>
                <w:sz w:val="17"/>
              </w:rPr>
              <w:t>Updated SSA case lifecycle tracking database, completed expert witness testimony submissions, and payment tracking for providers.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Formulary and Benefit Management</w:t>
            </w:r>
          </w:p>
        </w:tc>
        <w:tc>
          <w:tcPr>
            <w:tcW w:type="dxa" w:w="3600"/>
          </w:tcPr>
          <w:p>
            <w:r>
              <w:rPr>
                <w:rFonts w:ascii="Arial" w:hAnsi="Arial"/>
                <w:sz w:val="17"/>
              </w:rPr>
              <w:t>Requires coordinating multiple stakeholders, systems, or sequential processes toward a defined outcome, for Formulary and Benefit Management, this means managing handoffs, timelines, and information flows across parties so the workflow reaches completion with all dependencies satisfied.</w:t>
            </w:r>
          </w:p>
        </w:tc>
        <w:tc>
          <w:tcPr>
            <w:tcW w:type="dxa" w:w="2736"/>
          </w:tcPr>
          <w:p>
            <w:r>
              <w:rPr>
                <w:rFonts w:ascii="Arial" w:hAnsi="Arial"/>
                <w:sz w:val="17"/>
              </w:rPr>
              <w:t>Excel file</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Involuntary hold documentation</w:t>
            </w:r>
          </w:p>
        </w:tc>
        <w:tc>
          <w:tcPr>
            <w:tcW w:type="dxa" w:w="3600"/>
          </w:tcPr>
          <w:p>
            <w:r>
              <w:rPr>
                <w:rFonts w:ascii="Arial" w:hAnsi="Arial"/>
                <w:sz w:val="17"/>
              </w:rPr>
              <w:t>Requires integrating information from multiple disparate sources into a coherent, unified output, for Involuntary hold documentation, this means transforming raw inputs (records, data, precedents) into a structured document that communicates findings, positions, or recommendations.</w:t>
            </w:r>
          </w:p>
        </w:tc>
        <w:tc>
          <w:tcPr>
            <w:tcW w:type="dxa" w:w="2736"/>
          </w:tcPr>
          <w:p>
            <w:r>
              <w:rPr>
                <w:rFonts w:ascii="Arial" w:hAnsi="Arial"/>
                <w:sz w:val="17"/>
              </w:rPr>
              <w:t>A completed legal document justifying reasons to involuntarily hold a patient.</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Minor Ailment Prescribing</w:t>
            </w:r>
          </w:p>
        </w:tc>
        <w:tc>
          <w:tcPr>
            <w:tcW w:type="dxa" w:w="3600"/>
          </w:tcPr>
          <w:p>
            <w:r>
              <w:rPr>
                <w:rFonts w:ascii="Arial" w:hAnsi="Arial"/>
                <w:sz w:val="17"/>
              </w:rPr>
              <w:t>Requires applying established criteria or standards to specific facts in order to reach a consequential, defensible determination, for Minor Ailment Prescribing, this means exercising domain expertise to resolve competing interpretations and produce a binding or actionable judgment.</w:t>
            </w:r>
          </w:p>
        </w:tc>
        <w:tc>
          <w:tcPr>
            <w:tcW w:type="dxa" w:w="2736"/>
          </w:tcPr>
          <w:p>
            <w:r>
              <w:rPr>
                <w:rFonts w:ascii="Arial" w:hAnsi="Arial"/>
                <w:sz w:val="17"/>
              </w:rPr>
              <w:t>Prescription to fill for ailment, Referral to GP, follow-up call in 3 days.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Pharmacogenomic (PGx) Lab Interpretation and Implementation</w:t>
            </w:r>
          </w:p>
        </w:tc>
        <w:tc>
          <w:tcPr>
            <w:tcW w:type="dxa" w:w="3600"/>
          </w:tcPr>
          <w:p>
            <w:r>
              <w:rPr>
                <w:rFonts w:ascii="Arial" w:hAnsi="Arial"/>
                <w:sz w:val="17"/>
              </w:rPr>
              <w:t>Requires applying established criteria or standards to specific facts in order to reach a consequential, defensible determination, for Pharmacogenomic (PGx) Lab Interpretation and Implementation, this means exercising domain expertise to resolve competing interpretations and produce a binding or actionable judgment.</w:t>
            </w:r>
          </w:p>
        </w:tc>
        <w:tc>
          <w:tcPr>
            <w:tcW w:type="dxa" w:w="2736"/>
          </w:tcPr>
          <w:p>
            <w:r>
              <w:rPr>
                <w:rFonts w:ascii="Arial" w:hAnsi="Arial"/>
                <w:sz w:val="17"/>
              </w:rPr>
              <w:t>PGx interpretation report with actionable prescribing recommendations (e.g., dose adjustments, alternative therapies, or monitoring needs).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Pharmacogenomics consultation</w:t>
            </w:r>
          </w:p>
        </w:tc>
        <w:tc>
          <w:tcPr>
            <w:tcW w:type="dxa" w:w="3600"/>
          </w:tcPr>
          <w:p>
            <w:r>
              <w:rPr>
                <w:rFonts w:ascii="Arial" w:hAnsi="Arial"/>
                <w:sz w:val="17"/>
              </w:rPr>
              <w:t>Requires applying established criteria or standards to specific facts in order to reach a consequential, defensible determination, for Pharmacogenomics consultation, this means exercising domain expertise to resolve competing interpretations and produce a binding or actionable judgment.</w:t>
            </w:r>
          </w:p>
        </w:tc>
        <w:tc>
          <w:tcPr>
            <w:tcW w:type="dxa" w:w="2736"/>
          </w:tcPr>
          <w:p>
            <w:r>
              <w:rPr>
                <w:rFonts w:ascii="Arial" w:hAnsi="Arial"/>
                <w:sz w:val="17"/>
              </w:rPr>
              <w:t>Pharmacogenomics consult note with genotype-guided medication recommendations (dose/selection) and any required prior authorization documentation.</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Project Management - used SSA to monitor status of SSI appeals in Puerto Rico - granted access to SS numbers and medical records</w:t>
            </w:r>
          </w:p>
        </w:tc>
        <w:tc>
          <w:tcPr>
            <w:tcW w:type="dxa" w:w="3600"/>
          </w:tcPr>
          <w:p>
            <w:r>
              <w:rPr>
                <w:rFonts w:ascii="Arial" w:hAnsi="Arial"/>
                <w:sz w:val="17"/>
              </w:rPr>
              <w:t>Requires coordinating multiple stakeholders, systems, or sequential processes toward a defined outcome, for Project Management - used SSA to monitor status of SSI appeals in Puerto Rico - granted access to SS numbers and medical records, this means managing handoffs, timelines, and information flows across parties so the workflow reaches completion with all dependencies satisfied.</w:t>
            </w:r>
          </w:p>
        </w:tc>
        <w:tc>
          <w:tcPr>
            <w:tcW w:type="dxa" w:w="2736"/>
          </w:tcPr>
          <w:p>
            <w:r>
              <w:rPr>
                <w:rFonts w:ascii="Arial" w:hAnsi="Arial"/>
                <w:sz w:val="17"/>
              </w:rPr>
              <w:t>Updated case tracking spreadsheet, assigned expert witness, and submitted/communicated status updates and availability notices.</w:t>
            </w:r>
          </w:p>
        </w:tc>
        <w:tc>
          <w:tcPr>
            <w:tcW w:type="dxa" w:w="3600"/>
          </w:tcPr>
          <w:p>
            <w:r>
              <w:rPr>
                <w:rFonts w:ascii="Arial" w:hAnsi="Arial"/>
                <w:sz w:val="17"/>
              </w:rPr>
              <w:t>Use a denial with a CARC/RARC code that has more than one plausible root cause, only one of which is supported by the documentation — forces the agent to rule out distractors rather than pattern-match the code.</w:t>
            </w:r>
          </w:p>
        </w:tc>
        <w:tc>
          <w:tcPr>
            <w:tcW w:type="dxa" w:w="2880"/>
          </w:tcPr>
          <w:p>
            <w:r>
              <w:rPr>
                <w:rFonts w:ascii="Arial" w:hAnsi="Arial"/>
                <w:sz w:val="17"/>
              </w:rPr>
              <w:t>CMS NCCI Edits: https://www.cms.gov/medicare/coding-billing/national-correct-coding-initiative-ncci-edits | AHA Coding Clinic (subscription, via AHA Central Office)</w:t>
            </w:r>
          </w:p>
        </w:tc>
      </w:tr>
      <w:tr>
        <w:tc>
          <w:tcPr>
            <w:tcW w:type="dxa" w:w="792"/>
          </w:tcPr>
          <w:p>
            <w:r>
              <w:rPr>
                <w:rFonts w:ascii="Arial" w:hAnsi="Arial"/>
                <w:b/>
                <w:sz w:val="17"/>
              </w:rPr>
              <w:t>P2</w:t>
            </w:r>
          </w:p>
        </w:tc>
        <w:tc>
          <w:tcPr>
            <w:tcW w:type="dxa" w:w="2016"/>
          </w:tcPr>
          <w:p>
            <w:r>
              <w:rPr>
                <w:rFonts w:ascii="Arial" w:hAnsi="Arial"/>
                <w:sz w:val="17"/>
              </w:rPr>
              <w:t>Prosthetics And Orthotics Clinical Care, Patient Care</w:t>
            </w:r>
          </w:p>
        </w:tc>
        <w:tc>
          <w:tcPr>
            <w:tcW w:type="dxa" w:w="3600"/>
          </w:tcPr>
          <w:p>
            <w:r>
              <w:rPr>
                <w:rFonts w:ascii="Arial" w:hAnsi="Arial"/>
                <w:sz w:val="17"/>
              </w:rPr>
              <w:t>Requires coordinating multiple stakeholders, systems, or sequential processes toward a defined outcome, for Prosthetics And Orthotics Clinical Care, Patient Care, this means managing handoffs, timelines, and information flows across parties so the workflow reaches completion with all dependencies satisfied.</w:t>
            </w:r>
          </w:p>
        </w:tc>
        <w:tc>
          <w:tcPr>
            <w:tcW w:type="dxa" w:w="2736"/>
          </w:tcPr>
          <w:p>
            <w:r>
              <w:rPr>
                <w:rFonts w:ascii="Arial" w:hAnsi="Arial"/>
                <w:sz w:val="17"/>
              </w:rPr>
              <w:t>A properly fitted and clinically appropriate prosthetic or orthotic device, along with documentation of medical necessity, functional goals, and patient education.</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Review Provider Operative Reports; Apply Procedure/Diagnosis Codes; Submit Clean Claim</w:t>
            </w:r>
          </w:p>
        </w:tc>
        <w:tc>
          <w:tcPr>
            <w:tcW w:type="dxa" w:w="3600"/>
          </w:tcPr>
          <w:p>
            <w:r>
              <w:rPr>
                <w:rFonts w:ascii="Arial" w:hAnsi="Arial"/>
                <w:sz w:val="17"/>
              </w:rPr>
              <w:t>Requires applying established criteria or standards to specific facts in order to reach a consequential, defensible determination, for Review Provider Operative Reports; Apply Procedure/Diagnosis Codes; Submit Clean Claim, this means exercising domain expertise to resolve competing interpretations and produce a binding or actionable judgment.</w:t>
            </w:r>
          </w:p>
        </w:tc>
        <w:tc>
          <w:tcPr>
            <w:tcW w:type="dxa" w:w="2736"/>
          </w:tcPr>
          <w:p>
            <w:r>
              <w:rPr>
                <w:rFonts w:ascii="Arial" w:hAnsi="Arial"/>
                <w:sz w:val="17"/>
              </w:rPr>
              <w:t>Clean claim ready for claim scrubbing and submission.</w:t>
            </w:r>
          </w:p>
        </w:tc>
        <w:tc>
          <w:tcPr>
            <w:tcW w:type="dxa" w:w="3600"/>
          </w:tcPr>
          <w:p>
            <w:r>
              <w:rPr>
                <w:rFonts w:ascii="Arial" w:hAnsi="Arial"/>
                <w:sz w:val="17"/>
              </w:rPr>
              <w:t>Introduce a multi-cause payment variance (e.g., a legitimate contractual adjustment that looks like an underpayment) so the agent must distinguish a real billing error from an expected outcome.</w:t>
            </w:r>
          </w:p>
        </w:tc>
        <w:tc>
          <w:tcPr>
            <w:tcW w:type="dxa" w:w="2880"/>
          </w:tcPr>
          <w:p>
            <w:r>
              <w:rPr>
                <w:rFonts w:ascii="Arial" w:hAnsi="Arial"/>
                <w:sz w:val="17"/>
              </w:rPr>
              <w:t>CMS NCCI Edits: https://www.cms.gov/medicare/coding-billing/national-correct-coding-initiative-ncci-edits | CMS Medicare Coverage Database: https://www.cms.gov/medicare-coverage-database/search.aspx</w:t>
            </w:r>
          </w:p>
        </w:tc>
      </w:tr>
      <w:tr>
        <w:tc>
          <w:tcPr>
            <w:tcW w:type="dxa" w:w="792"/>
          </w:tcPr>
          <w:p>
            <w:r>
              <w:rPr>
                <w:rFonts w:ascii="Arial" w:hAnsi="Arial"/>
                <w:b/>
                <w:sz w:val="17"/>
              </w:rPr>
              <w:t>P2</w:t>
            </w:r>
          </w:p>
        </w:tc>
        <w:tc>
          <w:tcPr>
            <w:tcW w:type="dxa" w:w="2016"/>
          </w:tcPr>
          <w:p>
            <w:r>
              <w:rPr>
                <w:rFonts w:ascii="Arial" w:hAnsi="Arial"/>
                <w:sz w:val="17"/>
              </w:rPr>
              <w:t>Senior Subject Matter Expert</w:t>
            </w:r>
          </w:p>
        </w:tc>
        <w:tc>
          <w:tcPr>
            <w:tcW w:type="dxa" w:w="3600"/>
          </w:tcPr>
          <w:p>
            <w:r>
              <w:rPr>
                <w:rFonts w:ascii="Arial" w:hAnsi="Arial"/>
                <w:sz w:val="17"/>
              </w:rPr>
              <w:t>Requires integrating information from multiple disparate sources into a coherent, unified output, for Senior Subject Matter Expert, this means transforming raw inputs (records, data, precedents) into a structured document that communicates findings, positions, or recommendations.</w:t>
            </w:r>
          </w:p>
        </w:tc>
        <w:tc>
          <w:tcPr>
            <w:tcW w:type="dxa" w:w="2736"/>
          </w:tcPr>
          <w:p>
            <w:r>
              <w:rPr>
                <w:rFonts w:ascii="Arial" w:hAnsi="Arial"/>
                <w:sz w:val="17"/>
              </w:rPr>
              <w:t>Validated quality and risk performance package (measure-level results, drilldowns, audit trail) ready for operational review and external reporting.</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Standard Operating Procedure (SOP) Creation and Maintenance</w:t>
            </w:r>
          </w:p>
        </w:tc>
        <w:tc>
          <w:tcPr>
            <w:tcW w:type="dxa" w:w="3600"/>
          </w:tcPr>
          <w:p>
            <w:r>
              <w:rPr>
                <w:rFonts w:ascii="Arial" w:hAnsi="Arial"/>
                <w:sz w:val="17"/>
              </w:rPr>
              <w:t>Requires integrating information from multiple disparate sources into a coherent, unified output, for Standard Operating Procedure (SOP) Creation and Maintenance, this means transforming raw inputs (records, data, precedents) into a structured document that communicates findings, positions, or recommendations.</w:t>
            </w:r>
          </w:p>
        </w:tc>
        <w:tc>
          <w:tcPr>
            <w:tcW w:type="dxa" w:w="2736"/>
          </w:tcPr>
          <w:p>
            <w:r>
              <w:rPr>
                <w:rFonts w:ascii="Arial" w:hAnsi="Arial"/>
                <w:sz w:val="17"/>
              </w:rPr>
              <w:t>Completed SOP document (Word/PDF) ready for review and version control.</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Translating compliance requirements into EHR system</w:t>
            </w:r>
          </w:p>
        </w:tc>
        <w:tc>
          <w:tcPr>
            <w:tcW w:type="dxa" w:w="3600"/>
          </w:tcPr>
          <w:p>
            <w:r>
              <w:rPr>
                <w:rFonts w:ascii="Arial" w:hAnsi="Arial"/>
                <w:sz w:val="17"/>
              </w:rPr>
              <w:t>Requires integrating information from multiple disparate sources into a coherent, unified output, for Translating compliance requirements into EHR system, this means transforming raw inputs (records, data, precedents) into a structured document that communicates findings, positions, or recommendations.</w:t>
            </w:r>
          </w:p>
        </w:tc>
        <w:tc>
          <w:tcPr>
            <w:tcW w:type="dxa" w:w="2736"/>
          </w:tcPr>
          <w:p>
            <w:r>
              <w:rPr>
                <w:rFonts w:ascii="Arial" w:hAnsi="Arial"/>
                <w:sz w:val="17"/>
              </w:rPr>
              <w:t>This usually results in organization-wide documentation/communication via PDF, word doc, email, etc. It also involves in a report that is sent to leadership for reference in PDF or PPT format.</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Clinical Decision Support Alert Review and Action Documentation</w:t>
            </w:r>
          </w:p>
        </w:tc>
        <w:tc>
          <w:tcPr>
            <w:tcW w:type="dxa" w:w="3600"/>
          </w:tcPr>
          <w:p>
            <w:r>
              <w:rPr>
                <w:rFonts w:ascii="Arial" w:hAnsi="Arial"/>
                <w:sz w:val="17"/>
              </w:rPr>
              <w:t>Requires applying established criteria or standards to specific facts in order to reach a consequential, defensible determination, for Clinical Decision Support Alert Review and Action Documentation, this means exercising domain expertise to resolve competing interpretations and produce a binding or actionable judgment.</w:t>
            </w:r>
          </w:p>
        </w:tc>
        <w:tc>
          <w:tcPr>
            <w:tcW w:type="dxa" w:w="2736"/>
          </w:tcPr>
          <w:p>
            <w:r>
              <w:rPr>
                <w:rFonts w:ascii="Arial" w:hAnsi="Arial"/>
                <w:sz w:val="17"/>
              </w:rPr>
              <w:t>Acknowledgement of clinical decision support alert with selection of appropriate override reason, cancellation of order, modification of order, or placement of new order.</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Ambulatory Appointment Scheduling and Template Optimization</w:t>
            </w:r>
          </w:p>
        </w:tc>
        <w:tc>
          <w:tcPr>
            <w:tcW w:type="dxa" w:w="3600"/>
          </w:tcPr>
          <w:p>
            <w:r>
              <w:rPr>
                <w:rFonts w:ascii="Arial" w:hAnsi="Arial"/>
                <w:sz w:val="17"/>
              </w:rPr>
              <w:t>Requires coordinating multiple stakeholders, systems, or sequential processes toward a defined outcome, for Ambulatory Appointment Scheduling and Template Optimization, this means managing handoffs, timelines, and information flows across parties so the workflow reaches completion with all dependencies satisfied.</w:t>
            </w:r>
          </w:p>
        </w:tc>
        <w:tc>
          <w:tcPr>
            <w:tcW w:type="dxa" w:w="2736"/>
          </w:tcPr>
          <w:p>
            <w:r>
              <w:rPr>
                <w:rFonts w:ascii="Arial" w:hAnsi="Arial"/>
                <w:sz w:val="17"/>
              </w:rPr>
              <w:t>Completed patient request for scheduling of an appointment. Optimization of a scheduling template would include a standardized schedule across providers and clinics with standardized appointment types, appointment times, patient-facing hours, and standardized clinic operating hours.</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P2</w:t>
            </w:r>
          </w:p>
        </w:tc>
        <w:tc>
          <w:tcPr>
            <w:tcW w:type="dxa" w:w="2016"/>
          </w:tcPr>
          <w:p>
            <w:r>
              <w:rPr>
                <w:rFonts w:ascii="Arial" w:hAnsi="Arial"/>
                <w:sz w:val="17"/>
              </w:rPr>
              <w:t>Preventive Care Campaign Scheduling and Follow-Up Tracking</w:t>
            </w:r>
          </w:p>
        </w:tc>
        <w:tc>
          <w:tcPr>
            <w:tcW w:type="dxa" w:w="3600"/>
          </w:tcPr>
          <w:p>
            <w:r>
              <w:rPr>
                <w:rFonts w:ascii="Arial" w:hAnsi="Arial"/>
                <w:sz w:val="17"/>
              </w:rPr>
              <w:t>Requires coordinating multiple stakeholders, systems, or sequential processes toward a defined outcome, for Preventive Care Campaign Scheduling and Follow-Up Tracking, this means managing handoffs, timelines, and information flows across parties so the workflow reaches completion with all dependencies satisfied.</w:t>
            </w:r>
          </w:p>
        </w:tc>
        <w:tc>
          <w:tcPr>
            <w:tcW w:type="dxa" w:w="2736"/>
          </w:tcPr>
          <w:p>
            <w:r>
              <w:rPr>
                <w:rFonts w:ascii="Arial" w:hAnsi="Arial"/>
                <w:sz w:val="17"/>
              </w:rPr>
              <w:t>Creation of a population health dashboard with patient-specific drill down, including services due, appointments scheduled, and outreach tracking. Creation of reports run at specified intervals and presented to care management staff, identifying patients scheduled for preventative care services and those requiring further outreach.</w:t>
            </w:r>
          </w:p>
        </w:tc>
        <w:tc>
          <w:tcPr>
            <w:tcW w:type="dxa" w:w="3600"/>
          </w:tcPr>
          <w:p>
            <w:r>
              <w:rPr>
                <w:rFonts w:ascii="Arial" w:hAnsi="Arial"/>
                <w:sz w:val="17"/>
              </w:rPr>
              <w:t>Introduce a resource conflict (e.g., two competing legitimate scheduling priorities) so the correct action requires a justified tradeoff, not a simple slot-filling rule.</w:t>
            </w:r>
          </w:p>
        </w:tc>
        <w:tc>
          <w:tcPr>
            <w:tcW w:type="dxa" w:w="2880"/>
          </w:tcPr>
          <w:p>
            <w:r>
              <w:rPr>
                <w:rFonts w:ascii="Arial" w:hAnsi="Arial"/>
                <w:sz w:val="17"/>
              </w:rPr>
              <w:t>CMS Conditions of Participation: https://www.cms.gov/medicare/health-safety-standards/quality-safety-oversight-certification-compliance | AHRQ patient flow resources: https://www.ahrq.gov/research/findings/factsheets/errors-safety/flow/index.html</w:t>
            </w:r>
          </w:p>
        </w:tc>
      </w:tr>
      <w:tr>
        <w:tc>
          <w:tcPr>
            <w:tcW w:type="dxa" w:w="792"/>
          </w:tcPr>
          <w:p>
            <w:r>
              <w:rPr>
                <w:rFonts w:ascii="Arial" w:hAnsi="Arial"/>
                <w:b/>
                <w:sz w:val="17"/>
              </w:rPr>
              <w:t>P2</w:t>
            </w:r>
          </w:p>
        </w:tc>
        <w:tc>
          <w:tcPr>
            <w:tcW w:type="dxa" w:w="2016"/>
          </w:tcPr>
          <w:p>
            <w:r>
              <w:rPr>
                <w:rFonts w:ascii="Arial" w:hAnsi="Arial"/>
                <w:sz w:val="17"/>
              </w:rPr>
              <w:t>Clozapine ANC Monitoring and Dispensing Safety Compliance</w:t>
            </w:r>
          </w:p>
        </w:tc>
        <w:tc>
          <w:tcPr>
            <w:tcW w:type="dxa" w:w="3600"/>
          </w:tcPr>
          <w:p>
            <w:r>
              <w:rPr>
                <w:rFonts w:ascii="Arial" w:hAnsi="Arial"/>
                <w:sz w:val="17"/>
              </w:rPr>
              <w:t>Requires applying established criteria or standards to specific facts in order to reach a consequential, defensible determination, for Clozapine ANC Monitoring and Dispensing Safety Compliance, this means exercising domain expertise to resolve competing interpretations and produce a binding or actionable judgment.</w:t>
            </w:r>
          </w:p>
        </w:tc>
        <w:tc>
          <w:tcPr>
            <w:tcW w:type="dxa" w:w="2736"/>
          </w:tcPr>
          <w:p>
            <w:r>
              <w:rPr>
                <w:rFonts w:ascii="Arial" w:hAnsi="Arial"/>
                <w:sz w:val="17"/>
              </w:rPr>
              <w:t>ANC (Absolute Neutrophil Count) monitoring with specific thresholds for Clozapine treatment initiation, continuation and discontinuation.</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iPLEDGE REMS Compliance and Isotretinoin Prescription Confirmation</w:t>
            </w:r>
          </w:p>
        </w:tc>
        <w:tc>
          <w:tcPr>
            <w:tcW w:type="dxa" w:w="3600"/>
          </w:tcPr>
          <w:p>
            <w:r>
              <w:rPr>
                <w:rFonts w:ascii="Arial" w:hAnsi="Arial"/>
                <w:sz w:val="17"/>
              </w:rPr>
              <w:t>Requires applying established criteria or standards to specific facts in order to reach a consequential, defensible determination, for iPLEDGE REMS Compliance and Isotretinoin Prescription Confirmation, this means exercising domain expertise to resolve competing interpretations and produce a binding or actionable judgment.</w:t>
            </w:r>
          </w:p>
        </w:tc>
        <w:tc>
          <w:tcPr>
            <w:tcW w:type="dxa" w:w="2736"/>
          </w:tcPr>
          <w:p>
            <w:r>
              <w:rPr>
                <w:rFonts w:ascii="Arial" w:hAnsi="Arial"/>
                <w:sz w:val="17"/>
              </w:rPr>
              <w:t>Confirmation of patient, prescriber, and pharmacy enrollment status; documentation of required monthly pregnancy test results; verification of contraception counseling and attestation; signed informed consent forms; and compliance status indicators (qualified vs. non-qualified). The system also generates alerts for missing requirements and maintains audit logs for regulatory oversight. The outputs of Isotretinoin Prescription Confirmation include issuance of a time-limited prescription authorization (valid dispensing window), confirmation that all REMS requirements are met prior to dispensing, pharmacy verification status, and transaction records documenting that the medication was dispensed in compliance with REMS safeguards. Together, these outputs ensure regulatory compliance and prevent fetal exposure to isotretinoin.</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White Bagging Coordination and Site-of-Care Drug Admin</w:t>
            </w:r>
          </w:p>
        </w:tc>
        <w:tc>
          <w:tcPr>
            <w:tcW w:type="dxa" w:w="3600"/>
          </w:tcPr>
          <w:p>
            <w:r>
              <w:rPr>
                <w:rFonts w:ascii="Arial" w:hAnsi="Arial"/>
                <w:sz w:val="17"/>
              </w:rPr>
              <w:t>Requires coordinating multiple stakeholders, systems, or sequential processes toward a defined outcome, for White Bagging Coordination and Site-of-Care Drug Admin, this means managing handoffs, timelines, and information flows across parties so the workflow reaches completion with all dependencies satisfied.</w:t>
            </w:r>
          </w:p>
        </w:tc>
        <w:tc>
          <w:tcPr>
            <w:tcW w:type="dxa" w:w="2736"/>
          </w:tcPr>
          <w:p>
            <w:r>
              <w:rPr>
                <w:rFonts w:ascii="Arial" w:hAnsi="Arial"/>
                <w:sz w:val="17"/>
              </w:rPr>
              <w:t>Patient Therapy Authorization notice (Prior authorization, coverage determination, Treatment plan). Prescription verification record, drug dispensing documentation (drug lot numbers and expiration dates). Shipment tracking documentation, Delivery confirmation. If infusitons: Infusion appointment documentation and administration record (to include vital signs and any adverse reaction if applicable). Insurance claim submission, reimbursement records, and patient statements. Drug accountability records and safety reporting if applicable</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Adverse Event Case Processing and Regulatory Safety Reporting</w:t>
            </w:r>
          </w:p>
        </w:tc>
        <w:tc>
          <w:tcPr>
            <w:tcW w:type="dxa" w:w="3600"/>
          </w:tcPr>
          <w:p>
            <w:r>
              <w:rPr>
                <w:rFonts w:ascii="Arial" w:hAnsi="Arial"/>
                <w:sz w:val="17"/>
              </w:rPr>
              <w:t>Requires integrating information from multiple disparate sources into a coherent, unified output, for Adverse Event Case Processing and Regulatory Safety Reporting, this means transforming raw inputs (records, data, precedents) into a structured document that communicates findings, positions, or recommendations.</w:t>
            </w:r>
          </w:p>
        </w:tc>
        <w:tc>
          <w:tcPr>
            <w:tcW w:type="dxa" w:w="2736"/>
          </w:tcPr>
          <w:p>
            <w:r>
              <w:rPr>
                <w:rFonts w:ascii="Arial" w:hAnsi="Arial"/>
                <w:sz w:val="17"/>
              </w:rPr>
              <w:t>Case report and submission to FDA, state and hospital for adverse events. Possible ethics commitee involvement. Determination of reportable events and root cause analysis. Ensure timely submission of adverse events.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HEDIS Measure Attestation and CMS Stars Rating Optimization</w:t>
            </w:r>
          </w:p>
        </w:tc>
        <w:tc>
          <w:tcPr>
            <w:tcW w:type="dxa" w:w="3600"/>
          </w:tcPr>
          <w:p>
            <w:r>
              <w:rPr>
                <w:rFonts w:ascii="Arial" w:hAnsi="Arial"/>
                <w:sz w:val="17"/>
              </w:rPr>
              <w:t>Requires applying established criteria or standards to specific facts in order to reach a consequential, defensible determination, for HEDIS Measure Attestation and CMS Stars Rating Optimization, this means exercising domain expertise to resolve competing interpretations and produce a binding or actionable judgment.</w:t>
            </w:r>
          </w:p>
        </w:tc>
        <w:tc>
          <w:tcPr>
            <w:tcW w:type="dxa" w:w="2736"/>
          </w:tcPr>
          <w:p>
            <w:r>
              <w:rPr>
                <w:rFonts w:ascii="Arial" w:hAnsi="Arial"/>
                <w:sz w:val="17"/>
              </w:rPr>
              <w:t>Accurate, complete reporting of quality measures for HEDIS and CMS Stars quality programs.</w:t>
            </w:r>
          </w:p>
        </w:tc>
        <w:tc>
          <w:tcPr>
            <w:tcW w:type="dxa" w:w="3600"/>
          </w:tcPr>
          <w:p>
            <w:r>
              <w:rPr>
                <w:rFonts w:ascii="Arial" w:hAnsi="Arial"/>
                <w:sz w:val="17"/>
              </w:rPr>
              <w:t>Add a care event completed at an out-of-network facility that hasn't yet appeared in claims data, so a naive claims-only check produces a false-positive care gap.</w:t>
            </w:r>
          </w:p>
        </w:tc>
        <w:tc>
          <w:tcPr>
            <w:tcW w:type="dxa" w:w="2880"/>
          </w:tcPr>
          <w:p>
            <w:r>
              <w:rPr>
                <w:rFonts w:ascii="Arial" w:hAnsi="Arial"/>
                <w:sz w:val="17"/>
              </w:rPr>
              <w:t>NCQA HEDIS Measures: https://www.ncqa.org/hedis/measures/ | CMS Star Ratings: https://www.cms.gov/medicare/health-drug-plans/part-c-d-performance-data</w:t>
            </w:r>
          </w:p>
        </w:tc>
      </w:tr>
      <w:tr>
        <w:tc>
          <w:tcPr>
            <w:tcW w:type="dxa" w:w="792"/>
          </w:tcPr>
          <w:p>
            <w:r>
              <w:rPr>
                <w:rFonts w:ascii="Arial" w:hAnsi="Arial"/>
                <w:b/>
                <w:sz w:val="17"/>
              </w:rPr>
              <w:t>P2</w:t>
            </w:r>
          </w:p>
        </w:tc>
        <w:tc>
          <w:tcPr>
            <w:tcW w:type="dxa" w:w="2016"/>
          </w:tcPr>
          <w:p>
            <w:r>
              <w:rPr>
                <w:rFonts w:ascii="Arial" w:hAnsi="Arial"/>
                <w:sz w:val="17"/>
              </w:rPr>
              <w:t>HCC Risk Adjustment Coding Audit and CMS RADV Response Prep</w:t>
            </w:r>
          </w:p>
        </w:tc>
        <w:tc>
          <w:tcPr>
            <w:tcW w:type="dxa" w:w="3600"/>
          </w:tcPr>
          <w:p>
            <w:r>
              <w:rPr>
                <w:rFonts w:ascii="Arial" w:hAnsi="Arial"/>
                <w:sz w:val="17"/>
              </w:rPr>
              <w:t>Requires applying established criteria or standards to specific facts in order to reach a consequential, defensible determination, for HCC Risk Adjustment Coding Audit and CMS RADV Response Prep, this means exercising domain expertise to resolve competing interpretations and produce a binding or actionable judgment.</w:t>
            </w:r>
          </w:p>
        </w:tc>
        <w:tc>
          <w:tcPr>
            <w:tcW w:type="dxa" w:w="2736"/>
          </w:tcPr>
          <w:p>
            <w:r>
              <w:rPr>
                <w:rFonts w:ascii="Arial" w:hAnsi="Arial"/>
                <w:sz w:val="17"/>
              </w:rPr>
              <w:t>Ensuring that diagnosis codes submitted for Medicare Advantage enrollees are supported by adequate medical record documentation. Preparation strategies should focus on ensuring physician documentation supports each HCC diagnosis with clinical evidence, excluding diagnoses from non-qualifying encounters, and implementing internal validation processes that mirror CMS methodology before external audit.</w:t>
            </w:r>
          </w:p>
        </w:tc>
        <w:tc>
          <w:tcPr>
            <w:tcW w:type="dxa" w:w="3600"/>
          </w:tcPr>
          <w:p>
            <w:r>
              <w:rPr>
                <w:rFonts w:ascii="Arial" w:hAnsi="Arial"/>
                <w:sz w:val="17"/>
              </w:rPr>
              <w:t>Include a chart with conflicting documentation from two providers (e.g., attending vs. consultant) about the same condition, so the correct code depends on reconciling, not just reading, the note. Add a sequencing trap (correct principal diagnosis isn't the most prominent one).</w:t>
            </w:r>
          </w:p>
        </w:tc>
        <w:tc>
          <w:tcPr>
            <w:tcW w:type="dxa" w:w="2880"/>
          </w:tcPr>
          <w:p>
            <w:r>
              <w:rPr>
                <w:rFonts w:ascii="Arial" w:hAnsi="Arial"/>
                <w:sz w:val="17"/>
              </w:rPr>
              <w:t>AHIMA/ACDIS Guidelines for Achieving a Compliant Query Practice: https://www.ahima.org/landing-pages/ahima-acdis-guidelines-for-achieving-a-compliant-query-practice/ | CMS ICD-10-CM/PCS Official Guidelines: https://www.cms.gov/medicare/coding-billing/icd-10-codes</w:t>
            </w:r>
          </w:p>
        </w:tc>
      </w:tr>
      <w:tr>
        <w:tc>
          <w:tcPr>
            <w:tcW w:type="dxa" w:w="792"/>
          </w:tcPr>
          <w:p>
            <w:r>
              <w:rPr>
                <w:rFonts w:ascii="Arial" w:hAnsi="Arial"/>
                <w:b/>
                <w:sz w:val="17"/>
              </w:rPr>
              <w:t>P2</w:t>
            </w:r>
          </w:p>
        </w:tc>
        <w:tc>
          <w:tcPr>
            <w:tcW w:type="dxa" w:w="2016"/>
          </w:tcPr>
          <w:p>
            <w:r>
              <w:rPr>
                <w:rFonts w:ascii="Arial" w:hAnsi="Arial"/>
                <w:sz w:val="17"/>
              </w:rPr>
              <w:t>Inpatient Psychiatric Evaluation and Involuntary Hold Documentation</w:t>
            </w:r>
          </w:p>
        </w:tc>
        <w:tc>
          <w:tcPr>
            <w:tcW w:type="dxa" w:w="3600"/>
          </w:tcPr>
          <w:p>
            <w:r>
              <w:rPr>
                <w:rFonts w:ascii="Arial" w:hAnsi="Arial"/>
                <w:sz w:val="17"/>
              </w:rPr>
              <w:t>Requires applying established criteria or standards to specific facts in order to reach a consequential, defensible determination, for Inpatient Psychiatric Evaluation and Involuntary Hold Documentation, this means exercising domain expertise to resolve competing interpretations and produce a binding or actionable judgment.</w:t>
            </w:r>
          </w:p>
        </w:tc>
        <w:tc>
          <w:tcPr>
            <w:tcW w:type="dxa" w:w="2736"/>
          </w:tcPr>
          <w:p>
            <w:r>
              <w:rPr>
                <w:rFonts w:ascii="Arial" w:hAnsi="Arial"/>
                <w:sz w:val="17"/>
              </w:rPr>
              <w:t>Documentation of involuntary legal hold status within EMR or on paper documentation consistent with applicable state laws, with concurrent completion of accompanying ordersets.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Crisis Intervention and Safety Plan Documentation</w:t>
            </w:r>
          </w:p>
        </w:tc>
        <w:tc>
          <w:tcPr>
            <w:tcW w:type="dxa" w:w="3600"/>
          </w:tcPr>
          <w:p>
            <w:r>
              <w:rPr>
                <w:rFonts w:ascii="Arial" w:hAnsi="Arial"/>
                <w:sz w:val="17"/>
              </w:rPr>
              <w:t>Requires integrating information from multiple disparate sources into a coherent, unified output, for Crisis Intervention and Safety Plan Documentation, this means transforming raw inputs (records, data, precedents) into a structured document that communicates findings, positions, or recommendations.</w:t>
            </w:r>
          </w:p>
        </w:tc>
        <w:tc>
          <w:tcPr>
            <w:tcW w:type="dxa" w:w="2736"/>
          </w:tcPr>
          <w:p>
            <w:r>
              <w:rPr>
                <w:rFonts w:ascii="Arial" w:hAnsi="Arial"/>
                <w:sz w:val="17"/>
              </w:rPr>
              <w:t>Complete assesment and reassesment frequently of safety plan and risk factors. Clear follow up planning including physician follow up and appointment. Documentation of safety plan.</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Diagnostic Laboratory Order Entry and Order Set Optimization</w:t>
            </w:r>
          </w:p>
        </w:tc>
        <w:tc>
          <w:tcPr>
            <w:tcW w:type="dxa" w:w="3600"/>
          </w:tcPr>
          <w:p>
            <w:r>
              <w:rPr>
                <w:rFonts w:ascii="Arial" w:hAnsi="Arial"/>
                <w:sz w:val="17"/>
              </w:rPr>
              <w:t>Requires performing a defined, repeatable sequence of steps following established protocols with minimal independent judgment, for Diagnostic Laboratory Order Entry and Order Set Optimization, this means completing structured tasks accurately and efficiently within a predefined system or process.</w:t>
            </w:r>
          </w:p>
        </w:tc>
        <w:tc>
          <w:tcPr>
            <w:tcW w:type="dxa" w:w="2736"/>
          </w:tcPr>
          <w:p>
            <w:r>
              <w:rPr>
                <w:rFonts w:ascii="Arial" w:hAnsi="Arial"/>
                <w:sz w:val="17"/>
              </w:rPr>
              <w:t>Confirmation of order placement. Development and optimization of order sets based on data analytics and regulatory needs.</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Surgical Case Costing and Implant/Device Inventory Reconciliation</w:t>
            </w:r>
          </w:p>
        </w:tc>
        <w:tc>
          <w:tcPr>
            <w:tcW w:type="dxa" w:w="3600"/>
          </w:tcPr>
          <w:p>
            <w:r>
              <w:rPr>
                <w:rFonts w:ascii="Arial" w:hAnsi="Arial"/>
                <w:sz w:val="17"/>
              </w:rPr>
              <w:t>Requires coordinating multiple stakeholders, systems, or sequential processes toward a defined outcome, for Surgical Case Costing and Implant/Device Inventory Reconciliation, this means managing handoffs, timelines, and information flows across parties so the workflow reaches completion with all dependencies satisfied.</w:t>
            </w:r>
          </w:p>
        </w:tc>
        <w:tc>
          <w:tcPr>
            <w:tcW w:type="dxa" w:w="2736"/>
          </w:tcPr>
          <w:p>
            <w:r>
              <w:rPr>
                <w:rFonts w:ascii="Arial" w:hAnsi="Arial"/>
                <w:sz w:val="17"/>
              </w:rPr>
              <w:t>Reviewed the surgical case documentation and implant/device usage for the procedure.Verified the inventory, make sure billing system capture the charge</w:t>
            </w:r>
          </w:p>
        </w:tc>
        <w:tc>
          <w:tcPr>
            <w:tcW w:type="dxa" w:w="3600"/>
          </w:tcPr>
          <w:p>
            <w:r>
              <w:rPr>
                <w:rFonts w:ascii="Arial" w:hAnsi="Arial"/>
                <w:sz w:val="17"/>
              </w:rPr>
              <w:t>Reference an intraoperative finding that should change the documented plan but is easy to overlook amid procedural detail, testing whether the agent surfaces clinically significant findings.</w:t>
            </w:r>
          </w:p>
        </w:tc>
        <w:tc>
          <w:tcPr>
            <w:tcW w:type="dxa" w:w="2880"/>
          </w:tcPr>
          <w:p>
            <w:r>
              <w:rPr>
                <w:rFonts w:ascii="Arial" w:hAnsi="Arial"/>
                <w:sz w:val="17"/>
              </w:rPr>
              <w:t>ASA Standards for Pre-Anesthesia Care: https://www.asahq.org/standards-and-practice-parameters | ACS National Surgical Quality Improvement Program: https://www.facs.org/quality-programs/acs-nsqip/</w:t>
            </w:r>
          </w:p>
        </w:tc>
      </w:tr>
      <w:tr>
        <w:tc>
          <w:tcPr>
            <w:tcW w:type="dxa" w:w="792"/>
          </w:tcPr>
          <w:p>
            <w:r>
              <w:rPr>
                <w:rFonts w:ascii="Arial" w:hAnsi="Arial"/>
                <w:b/>
                <w:sz w:val="17"/>
              </w:rPr>
              <w:t>P2</w:t>
            </w:r>
          </w:p>
        </w:tc>
        <w:tc>
          <w:tcPr>
            <w:tcW w:type="dxa" w:w="2016"/>
          </w:tcPr>
          <w:p>
            <w:r>
              <w:rPr>
                <w:rFonts w:ascii="Arial" w:hAnsi="Arial"/>
                <w:sz w:val="17"/>
              </w:rPr>
              <w:t>FACT Accreditation Compliance, Chain-of-Custody, and CAR-T AE</w:t>
            </w:r>
          </w:p>
        </w:tc>
        <w:tc>
          <w:tcPr>
            <w:tcW w:type="dxa" w:w="3600"/>
          </w:tcPr>
          <w:p>
            <w:r>
              <w:rPr>
                <w:rFonts w:ascii="Arial" w:hAnsi="Arial"/>
                <w:sz w:val="17"/>
              </w:rPr>
              <w:t>Requires coordinating multiple stakeholders, systems, or sequential processes toward a defined outcome, for FACT Accreditation Compliance, Chain-of-Custody, and CAR-T AE, this means managing handoffs, timelines, and information flows across parties so the workflow reaches completion with all dependencies satisfied.</w:t>
            </w:r>
          </w:p>
        </w:tc>
        <w:tc>
          <w:tcPr>
            <w:tcW w:type="dxa" w:w="2736"/>
          </w:tcPr>
          <w:p>
            <w:r>
              <w:rPr>
                <w:rFonts w:ascii="Arial" w:hAnsi="Arial"/>
                <w:sz w:val="17"/>
              </w:rPr>
              <w:t>Reviewed the Documentation that meets FACT accrediation requirements.Chain of custody verified, Patient treatment and lab were Documenated according to the Protocol.</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Brown Bagging Liability Assessment and Cold-Chain Verification</w:t>
            </w:r>
          </w:p>
        </w:tc>
        <w:tc>
          <w:tcPr>
            <w:tcW w:type="dxa" w:w="3600"/>
          </w:tcPr>
          <w:p>
            <w:r>
              <w:rPr>
                <w:rFonts w:ascii="Arial" w:hAnsi="Arial"/>
                <w:sz w:val="17"/>
              </w:rPr>
              <w:t>Requires applying established criteria or standards to specific facts in order to reach a consequential, defensible determination, for Brown Bagging Liability Assessment and Cold-Chain Verification, this means exercising domain expertise to resolve competing interpretations and produce a binding or actionable judgment.</w:t>
            </w:r>
          </w:p>
        </w:tc>
        <w:tc>
          <w:tcPr>
            <w:tcW w:type="dxa" w:w="2736"/>
          </w:tcPr>
          <w:p>
            <w:r>
              <w:rPr>
                <w:rFonts w:ascii="Arial" w:hAnsi="Arial"/>
                <w:sz w:val="17"/>
              </w:rPr>
              <w:t>Pharmacy inventory record, Confirming proper medication handling,No descripiences noted in temp logs, Followed the policy</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r>
        <w:tc>
          <w:tcPr>
            <w:tcW w:type="dxa" w:w="792"/>
          </w:tcPr>
          <w:p>
            <w:r>
              <w:rPr>
                <w:rFonts w:ascii="Arial" w:hAnsi="Arial"/>
                <w:b/>
                <w:sz w:val="17"/>
              </w:rPr>
              <w:t>P2</w:t>
            </w:r>
          </w:p>
        </w:tc>
        <w:tc>
          <w:tcPr>
            <w:tcW w:type="dxa" w:w="2016"/>
          </w:tcPr>
          <w:p>
            <w:r>
              <w:rPr>
                <w:rFonts w:ascii="Arial" w:hAnsi="Arial"/>
                <w:sz w:val="17"/>
              </w:rPr>
              <w:t>340B Program Compliance Audit and Manufacturer Audit Response</w:t>
            </w:r>
          </w:p>
        </w:tc>
        <w:tc>
          <w:tcPr>
            <w:tcW w:type="dxa" w:w="3600"/>
          </w:tcPr>
          <w:p>
            <w:r>
              <w:rPr>
                <w:rFonts w:ascii="Arial" w:hAnsi="Arial"/>
                <w:sz w:val="17"/>
              </w:rPr>
              <w:t>Requires applying established criteria or standards to specific facts in order to reach a consequential, defensible determination, for 340B Program Compliance Audit and Manufacturer Audit Response, this means exercising domain expertise to resolve competing interpretations and produce a binding or actionable judgment.</w:t>
            </w:r>
          </w:p>
        </w:tc>
        <w:tc>
          <w:tcPr>
            <w:tcW w:type="dxa" w:w="2736"/>
          </w:tcPr>
          <w:p>
            <w:r>
              <w:rPr>
                <w:rFonts w:ascii="Arial" w:hAnsi="Arial"/>
                <w:sz w:val="17"/>
              </w:rPr>
              <w:t>Acknowledgement and tace from manufacturers, structured and timely documented approach to address findings like duplicate discounts or diversions. Covered entities must formally respond to audit findings typically within 6o da6s by providing correctie action plan CAP) that outlines root causes, plicy revisions, and remedication steps to HRSA</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Payer Formulary Dossier Submission and Tier Placement Negotiation</w:t>
            </w:r>
          </w:p>
        </w:tc>
        <w:tc>
          <w:tcPr>
            <w:tcW w:type="dxa" w:w="3600"/>
          </w:tcPr>
          <w:p>
            <w:r>
              <w:rPr>
                <w:rFonts w:ascii="Arial" w:hAnsi="Arial"/>
                <w:sz w:val="17"/>
              </w:rPr>
              <w:t>Requires coordinating multiple stakeholders, systems, or sequential processes toward a defined outcome, for Payer Formulary Dossier Submission and Tier Placement Negotiation, this means managing handoffs, timelines, and information flows across parties so the workflow reaches completion with all dependencies satisfied.</w:t>
            </w:r>
          </w:p>
        </w:tc>
        <w:tc>
          <w:tcPr>
            <w:tcW w:type="dxa" w:w="2736"/>
          </w:tcPr>
          <w:p>
            <w:r>
              <w:rPr>
                <w:rFonts w:ascii="Arial" w:hAnsi="Arial"/>
                <w:sz w:val="17"/>
              </w:rPr>
              <w:t>Formulary submission dossiers, coverage and tier placement analysis reports, budget impact and cost-effetiveness models, market access strategy recommendations, and dashboards with payer coverage trends and market performance</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MSL Scientific Exchange and Medical Information Request Management</w:t>
            </w:r>
          </w:p>
        </w:tc>
        <w:tc>
          <w:tcPr>
            <w:tcW w:type="dxa" w:w="3600"/>
          </w:tcPr>
          <w:p>
            <w:r>
              <w:rPr>
                <w:rFonts w:ascii="Arial" w:hAnsi="Arial"/>
                <w:sz w:val="17"/>
              </w:rPr>
              <w:t>Requires integrating information from multiple disparate sources into a coherent, unified output, for MSL Scientific Exchange and Medical Information Request Management, this means transforming raw inputs (records, data, precedents) into a structured document that communicates findings, positions, or recommendations.</w:t>
            </w:r>
          </w:p>
        </w:tc>
        <w:tc>
          <w:tcPr>
            <w:tcW w:type="dxa" w:w="2736"/>
          </w:tcPr>
          <w:p>
            <w:r>
              <w:rPr>
                <w:rFonts w:ascii="Arial" w:hAnsi="Arial"/>
                <w:sz w:val="17"/>
              </w:rPr>
              <w:t>Medical Information response documentation, scientific exchange interaction reports, healthcare inquiry trend analysis, clinical evidence summaries, literature reviews, and dashboards with scientific engagement metrics.</w:t>
            </w:r>
          </w:p>
        </w:tc>
        <w:tc>
          <w:tcPr>
            <w:tcW w:type="dxa" w:w="3600"/>
          </w:tcPr>
          <w:p>
            <w:r>
              <w:rPr>
                <w:rFonts w:ascii="Arial" w:hAnsi="Arial"/>
                <w:sz w:val="17"/>
              </w:rPr>
              <w:t>Require the agent to distinguish an on-label clinical question from an off-label one embedded in the same inquiry, since the correct response differs significantly.</w:t>
            </w:r>
          </w:p>
        </w:tc>
        <w:tc>
          <w:tcPr>
            <w:tcW w:type="dxa" w:w="2880"/>
          </w:tcPr>
          <w:p>
            <w:r>
              <w:rPr>
                <w:rFonts w:ascii="Arial" w:hAnsi="Arial"/>
                <w:sz w:val="17"/>
              </w:rPr>
              <w:t>FDA Medical Information guidance (industry-specific, varies by product) | ASHP Medical Information resources: https://www.ashp.org/</w:t>
            </w:r>
          </w:p>
        </w:tc>
      </w:tr>
      <w:tr>
        <w:tc>
          <w:tcPr>
            <w:tcW w:type="dxa" w:w="792"/>
          </w:tcPr>
          <w:p>
            <w:r>
              <w:rPr>
                <w:rFonts w:ascii="Arial" w:hAnsi="Arial"/>
                <w:b/>
                <w:sz w:val="17"/>
              </w:rPr>
              <w:t>P2</w:t>
            </w:r>
          </w:p>
        </w:tc>
        <w:tc>
          <w:tcPr>
            <w:tcW w:type="dxa" w:w="2016"/>
          </w:tcPr>
          <w:p>
            <w:r>
              <w:rPr>
                <w:rFonts w:ascii="Arial" w:hAnsi="Arial"/>
                <w:sz w:val="17"/>
              </w:rPr>
              <w:t>Patent Cliff Analysis and Product Lifecycle Management Strategy</w:t>
            </w:r>
          </w:p>
        </w:tc>
        <w:tc>
          <w:tcPr>
            <w:tcW w:type="dxa" w:w="3600"/>
          </w:tcPr>
          <w:p>
            <w:r>
              <w:rPr>
                <w:rFonts w:ascii="Arial" w:hAnsi="Arial"/>
                <w:sz w:val="17"/>
              </w:rPr>
              <w:t>Requires integrating information from multiple disparate sources into a coherent, unified output, for Patent Cliff Analysis and Product Lifecycle Management Strategy, this means transforming raw inputs (records, data, precedents) into a structured document that communicates findings, positions, or recommendations.</w:t>
            </w:r>
          </w:p>
        </w:tc>
        <w:tc>
          <w:tcPr>
            <w:tcW w:type="dxa" w:w="2736"/>
          </w:tcPr>
          <w:p>
            <w:r>
              <w:rPr>
                <w:rFonts w:ascii="Arial" w:hAnsi="Arial"/>
                <w:sz w:val="17"/>
              </w:rPr>
              <w:t>Patient Expiration Reports, Competitive Threat Assessment, Revenue Impact Forecast, Lifecycle Management Strategy Plan, Regulatory and Development Planning Documents.Updated commercial and pricing strategies.</w:t>
            </w:r>
          </w:p>
        </w:tc>
        <w:tc>
          <w:tcPr>
            <w:tcW w:type="dxa" w:w="3600"/>
          </w:tcPr>
          <w:p>
            <w:r>
              <w:rPr>
                <w:rFonts w:ascii="Arial" w:hAnsi="Arial"/>
                <w:sz w:val="17"/>
              </w:rPr>
              <w:t>Add a piece of information that contradicts or complicates the most obvious reading of the case (a conflicting data point, a recently changed rule, or a scattered detail the agent must actively retrieve) so the correct work product requires synthesis and judgment, not direct lookup or transcription.</w:t>
            </w:r>
          </w:p>
        </w:tc>
        <w:tc>
          <w:tcPr>
            <w:tcW w:type="dxa" w:w="2880"/>
          </w:tcPr>
          <w:p>
            <w:r>
              <w:rPr>
                <w:rFonts w:ascii="Arial" w:hAnsi="Arial"/>
                <w:sz w:val="17"/>
              </w:rPr>
              <w:t>AHRQ Quality Indicators (https://qualityindicators.ahrq.gov/) and CMS.gov (https://www.cms.gov/) for general regulatory/quality references applicable to most workflows.</w:t>
            </w:r>
          </w:p>
        </w:tc>
      </w:tr>
      <w:tr>
        <w:tc>
          <w:tcPr>
            <w:tcW w:type="dxa" w:w="792"/>
          </w:tcPr>
          <w:p>
            <w:r>
              <w:rPr>
                <w:rFonts w:ascii="Arial" w:hAnsi="Arial"/>
                <w:b/>
                <w:sz w:val="17"/>
              </w:rPr>
              <w:t>P2</w:t>
            </w:r>
          </w:p>
        </w:tc>
        <w:tc>
          <w:tcPr>
            <w:tcW w:type="dxa" w:w="2016"/>
          </w:tcPr>
          <w:p>
            <w:r>
              <w:rPr>
                <w:rFonts w:ascii="Arial" w:hAnsi="Arial"/>
                <w:sz w:val="17"/>
              </w:rPr>
              <w:t>Managed Care Formulary Contracting and Brand Defense at LOE</w:t>
            </w:r>
          </w:p>
        </w:tc>
        <w:tc>
          <w:tcPr>
            <w:tcW w:type="dxa" w:w="3600"/>
          </w:tcPr>
          <w:p>
            <w:r>
              <w:rPr>
                <w:rFonts w:ascii="Arial" w:hAnsi="Arial"/>
                <w:sz w:val="17"/>
              </w:rPr>
              <w:t>Requires coordinating multiple stakeholders, systems, or sequential processes toward a defined outcome, for Managed Care Formulary Contracting and Brand Defense at LOE, this means managing handoffs, timelines, and information flows across parties so the workflow reaches completion with all dependencies satisfied.</w:t>
            </w:r>
          </w:p>
        </w:tc>
        <w:tc>
          <w:tcPr>
            <w:tcW w:type="dxa" w:w="2736"/>
          </w:tcPr>
          <w:p>
            <w:r>
              <w:rPr>
                <w:rFonts w:ascii="Arial" w:hAnsi="Arial"/>
                <w:sz w:val="17"/>
              </w:rPr>
              <w:t>Linking rebated to patient outcomes, launching authorized genericas to compete against independent generics to retain oharmacy wholesaler loyalty, utilizing markert share or access based rebates to maintain preferred formulary status, budget impact analysis to demonstrate the cost effictiveness of the brand vs generics, patient adherance data and clinical outcomes to differentiate from generics, copay cards and patient assistance programs to reduce out of pocket costs and maintain loyalty, enpahzise unique delivery devices, new formulations or clinical advantage that generics cannot match, using advance alalytics to track generic competitor R&amp;D and launch timelines, standardized dossier used to communicate value to pharmacy and therapeutics committees.</w:t>
            </w:r>
          </w:p>
        </w:tc>
        <w:tc>
          <w:tcPr>
            <w:tcW w:type="dxa" w:w="3600"/>
          </w:tcPr>
          <w:p>
            <w:r>
              <w:rPr>
                <w:rFonts w:ascii="Arial" w:hAnsi="Arial"/>
                <w:sz w:val="17"/>
              </w:rPr>
              <w:t>Embed a clinically significant but easy-to-miss interaction or dosing error (e.g., renal-function-adjusted dose that wasn't adjusted, a QT-prolonging combination) verified against a current, licensed reference at task-build time. Require the agent to flag it unprompted rather than in response to a direct question.</w:t>
            </w:r>
          </w:p>
        </w:tc>
        <w:tc>
          <w:tcPr>
            <w:tcW w:type="dxa" w:w="2880"/>
          </w:tcPr>
          <w:p>
            <w:r>
              <w:rPr>
                <w:rFonts w:ascii="Arial" w:hAnsi="Arial"/>
                <w:sz w:val="17"/>
              </w:rPr>
              <w:t>Lexicomp and Micromedex (vendor drug-interaction/dosing references, access via your organization's license) | FDA Drug Safety Communications: https://www.fda.gov/drugs/drug-safety-and-availability/drug-safety-communications</w:t>
            </w:r>
          </w:p>
        </w:tc>
      </w:tr>
      <w:tr>
        <w:tc>
          <w:tcPr>
            <w:tcW w:type="dxa" w:w="792"/>
          </w:tcPr>
          <w:p>
            <w:r>
              <w:rPr>
                <w:rFonts w:ascii="Arial" w:hAnsi="Arial"/>
                <w:b/>
                <w:sz w:val="17"/>
              </w:rPr>
              <w:t>P2</w:t>
            </w:r>
          </w:p>
        </w:tc>
        <w:tc>
          <w:tcPr>
            <w:tcW w:type="dxa" w:w="2016"/>
          </w:tcPr>
          <w:p>
            <w:r>
              <w:rPr>
                <w:rFonts w:ascii="Arial" w:hAnsi="Arial"/>
                <w:sz w:val="17"/>
              </w:rPr>
              <w:t>Pediatric Exclusivity Extension Planning and Regulatory Strategy</w:t>
            </w:r>
          </w:p>
        </w:tc>
        <w:tc>
          <w:tcPr>
            <w:tcW w:type="dxa" w:w="3600"/>
          </w:tcPr>
          <w:p>
            <w:r>
              <w:rPr>
                <w:rFonts w:ascii="Arial" w:hAnsi="Arial"/>
                <w:sz w:val="17"/>
              </w:rPr>
              <w:t>Requires integrating information from multiple disparate sources into a coherent, unified output, for Pediatric Exclusivity Extension Planning and Regulatory Strategy, this means transforming raw inputs (records, data, precedents) into a structured document that communicates findings, positions, or recommendations.</w:t>
            </w:r>
          </w:p>
        </w:tc>
        <w:tc>
          <w:tcPr>
            <w:tcW w:type="dxa" w:w="2736"/>
          </w:tcPr>
          <w:p>
            <w:r>
              <w:rPr>
                <w:rFonts w:ascii="Arial" w:hAnsi="Arial"/>
                <w:sz w:val="17"/>
              </w:rPr>
              <w:t>Documented criteria and recommendation by FDA for continued patent and documented safety and dosing for pediatric medications.</w:t>
            </w:r>
          </w:p>
        </w:tc>
        <w:tc>
          <w:tcPr>
            <w:tcW w:type="dxa" w:w="3600"/>
          </w:tcPr>
          <w:p>
            <w:r>
              <w:rPr>
                <w:rFonts w:ascii="Arial" w:hAnsi="Arial"/>
                <w:sz w:val="17"/>
              </w:rPr>
              <w:t>Cite a specific regulatory requirement that was updated after July 2025 and attach the current text as a task file, while leaving older guidance in the institutional policy documents the agent also sees, to test recognition of the conflict.</w:t>
            </w:r>
          </w:p>
        </w:tc>
        <w:tc>
          <w:tcPr>
            <w:tcW w:type="dxa" w:w="2880"/>
          </w:tcPr>
          <w:p>
            <w:r>
              <w:rPr>
                <w:rFonts w:ascii="Arial" w:hAnsi="Arial"/>
                <w:sz w:val="17"/>
              </w:rPr>
              <w:t>Joint Commission Standards: https://www.jointcommission.org/en-us/standards | CMS Conditions of Participation: https://www.cms.gov/medicare/health-safety-standards/quality-safety-oversight-certification-compliance | 45 CFR 164 (HIPAA Security Rule): https://www.hhs.gov/hipaa/for-professionals/security/index.html</w:t>
            </w:r>
          </w:p>
        </w:tc>
      </w:tr>
      <w:tr>
        <w:tc>
          <w:tcPr>
            <w:tcW w:type="dxa" w:w="792"/>
          </w:tcPr>
          <w:p>
            <w:r>
              <w:rPr>
                <w:rFonts w:ascii="Arial" w:hAnsi="Arial"/>
                <w:b/>
                <w:sz w:val="17"/>
              </w:rPr>
              <w:t>P2</w:t>
            </w:r>
          </w:p>
        </w:tc>
        <w:tc>
          <w:tcPr>
            <w:tcW w:type="dxa" w:w="2016"/>
          </w:tcPr>
          <w:p>
            <w:r>
              <w:rPr>
                <w:rFonts w:ascii="Arial" w:hAnsi="Arial"/>
                <w:sz w:val="17"/>
              </w:rPr>
              <w:t>Oncology Tumor Board Case Preparation and Documentation</w:t>
            </w:r>
          </w:p>
        </w:tc>
        <w:tc>
          <w:tcPr>
            <w:tcW w:type="dxa" w:w="3600"/>
          </w:tcPr>
          <w:p>
            <w:r>
              <w:rPr>
                <w:rFonts w:ascii="Arial" w:hAnsi="Arial"/>
                <w:sz w:val="17"/>
              </w:rPr>
              <w:t>Requires integrating information from multiple disparate sources into a coherent, unified output, for Oncology Tumor Board Case Preparation and Documentation, this means transforming raw inputs (records, data, precedents) into a structured document that communicates findings, positions, or recommendations.</w:t>
            </w:r>
          </w:p>
        </w:tc>
        <w:tc>
          <w:tcPr>
            <w:tcW w:type="dxa" w:w="2736"/>
          </w:tcPr>
          <w:p>
            <w:r>
              <w:rPr>
                <w:rFonts w:ascii="Arial" w:hAnsi="Arial"/>
                <w:sz w:val="17"/>
              </w:rPr>
              <w:t>Documented and multidisciplinaty plan based on recent guidelines, patient previous treatment, imaging and comorbidities. Documentation of next steps and followup plan. All using evidence based care. A system hospital or state/ nation wide for tracking rare diseases/ treatments.</w:t>
            </w:r>
          </w:p>
        </w:tc>
        <w:tc>
          <w:tcPr>
            <w:tcW w:type="dxa" w:w="3600"/>
          </w:tcPr>
          <w:p>
            <w:r>
              <w:rPr>
                <w:rFonts w:ascii="Arial" w:hAnsi="Arial"/>
                <w:sz w:val="17"/>
              </w:rPr>
              <w:t>Require synthesis across guideline recommendations, prior treatment history, and a comorbidity that complicates the standard pathway, so the agent must justify deviation from or adherence to protocol rather than restate it.</w:t>
            </w:r>
          </w:p>
        </w:tc>
        <w:tc>
          <w:tcPr>
            <w:tcW w:type="dxa" w:w="2880"/>
          </w:tcPr>
          <w:p>
            <w:r>
              <w:rPr>
                <w:rFonts w:ascii="Arial" w:hAnsi="Arial"/>
                <w:sz w:val="17"/>
              </w:rPr>
              <w:t>NCCN Clinical Practice Guidelines: https://www.nccn.org/guidelines/category_1 | UNOS/OPTN policies: https://unos.org/policy/</w:t>
            </w:r>
          </w:p>
        </w:tc>
      </w:tr>
      <w:tr>
        <w:tc>
          <w:tcPr>
            <w:tcW w:type="dxa" w:w="792"/>
          </w:tcPr>
          <w:p>
            <w:r>
              <w:rPr>
                <w:rFonts w:ascii="Arial" w:hAnsi="Arial"/>
                <w:b/>
                <w:sz w:val="17"/>
              </w:rPr>
              <w:t>P2</w:t>
            </w:r>
          </w:p>
        </w:tc>
        <w:tc>
          <w:tcPr>
            <w:tcW w:type="dxa" w:w="2016"/>
          </w:tcPr>
          <w:p>
            <w:r>
              <w:rPr>
                <w:rFonts w:ascii="Arial" w:hAnsi="Arial"/>
                <w:sz w:val="17"/>
              </w:rPr>
              <w:t>Solid Organ Transplant Pre-Evaluation and UNOS Listing Decision</w:t>
            </w:r>
          </w:p>
        </w:tc>
        <w:tc>
          <w:tcPr>
            <w:tcW w:type="dxa" w:w="3600"/>
          </w:tcPr>
          <w:p>
            <w:r>
              <w:rPr>
                <w:rFonts w:ascii="Arial" w:hAnsi="Arial"/>
                <w:sz w:val="17"/>
              </w:rPr>
              <w:t>Requires applying established criteria or standards to specific facts in order to reach a consequential, defensible determination, for Solid Organ Transplant Pre-Evaluation and UNOS Listing Decision, this means exercising domain expertise to resolve competing interpretations and produce a binding or actionable judgment.</w:t>
            </w:r>
          </w:p>
        </w:tc>
        <w:tc>
          <w:tcPr>
            <w:tcW w:type="dxa" w:w="2736"/>
          </w:tcPr>
          <w:p>
            <w:r>
              <w:rPr>
                <w:rFonts w:ascii="Arial" w:hAnsi="Arial"/>
                <w:sz w:val="17"/>
              </w:rPr>
              <w:t>Use patient chart and data to select decision if patient is quaified for transplant. Must have immune system compatability, HLA typing, likelihood of long term graft survival, time on waitlist often to break ties between candidates, proximity between the donors and receipient hospitals is critical due to organ specific preservation times, allocation</w:t>
            </w:r>
          </w:p>
        </w:tc>
        <w:tc>
          <w:tcPr>
            <w:tcW w:type="dxa" w:w="3600"/>
          </w:tcPr>
          <w:p>
            <w:r>
              <w:rPr>
                <w:rFonts w:ascii="Arial" w:hAnsi="Arial"/>
                <w:sz w:val="17"/>
              </w:rPr>
              <w:t>Introduce a borderline or discordant QC/result value that requires judgment on whether to release, repeat, or escalate, rather than a clearly in- or out-of-range value.</w:t>
            </w:r>
          </w:p>
        </w:tc>
        <w:tc>
          <w:tcPr>
            <w:tcW w:type="dxa" w:w="2880"/>
          </w:tcPr>
          <w:p>
            <w:r>
              <w:rPr>
                <w:rFonts w:ascii="Arial" w:hAnsi="Arial"/>
                <w:sz w:val="17"/>
              </w:rPr>
              <w:t>CLSI breakpoint standards (vendor, via your organization's license) | CAP Laboratory Accreditation Checklists: https://www.cap.org/laboratory-improvement/accreditation/accreditation-checklists | Project Sanctum Lab Report Simulator: https://med-data-nine.vercel.app/ (tab 1) | LabCorp Test Menu (reference ranges/formatting): https://www.labcorp.com/test-menu/search</w:t>
            </w:r>
          </w:p>
        </w:tc>
      </w:tr>
    </w:tbl>
    <w:sectPr w:rsidR="00FC693F" w:rsidRPr="0006063C" w:rsidSect="00034616">
      <w:pgSz w:w="15840" w:h="12240" w:orient="landscape"/>
      <w:pgMar w:top="864" w:right="576" w:bottom="86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