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p>
    <w:tbl>
      <w:tblPr>
        <w:tblW w:type="auto" w:w="0"/>
        <w:tblLayout w:type="fixed"/>
        <w:tblLook w:firstColumn="1" w:firstRow="1" w:lastColumn="0" w:lastRow="0" w:noHBand="0" w:noVBand="1" w:val="04A0"/>
      </w:tblPr>
      <w:tblGrid>
        <w:gridCol w:w="7488"/>
        <w:gridCol w:w="2880"/>
      </w:tblGrid>
      <w:tr>
        <w:tc>
          <w:tcPr>
            <w:tcW w:type="dxa" w:w="7488"/>
            <w:tcBorders>
              <w:top w:val="single" w:sz="4" w:color="000000"/>
              <w:left w:val="single" w:sz="4" w:color="000000"/>
              <w:bottom w:val="single" w:sz="4" w:color="000000"/>
              <w:right w:val="single" w:sz="4" w:color="000000"/>
            </w:tcBorders>
          </w:tcPr>
          <w:p>
            <w:pPr>
              <w:spacing w:after="0"/>
            </w:pPr>
            <w:r/>
            <w:r>
              <w:rPr>
                <w:rFonts w:ascii="Arial" w:hAnsi="Arial"/>
                <w:b/>
                <w:i w:val="0"/>
                <w:sz w:val="22"/>
              </w:rPr>
              <w:t>MERCY VALE REGIONAL MEDICAL CENTER</w:t>
            </w:r>
          </w:p>
          <w:p>
            <w:pPr>
              <w:spacing w:after="0"/>
            </w:pPr>
            <w:r>
              <w:rPr>
                <w:rFonts w:ascii="Arial" w:hAnsi="Arial"/>
                <w:b w:val="0"/>
                <w:i/>
                <w:sz w:val="19"/>
              </w:rPr>
              <w:t>Care Management</w:t>
            </w:r>
          </w:p>
          <w:p>
            <w:pPr>
              <w:spacing w:after="0"/>
            </w:pPr>
            <w:r>
              <w:rPr>
                <w:rFonts w:ascii="Arial" w:hAnsi="Arial"/>
                <w:b w:val="0"/>
                <w:i w:val="0"/>
                <w:sz w:val="16"/>
              </w:rPr>
              <w:t>5 Harbor Crest Way, Bridgehollow, PA 15211</w:t>
            </w:r>
          </w:p>
          <w:p>
            <w:pPr>
              <w:spacing w:after="0"/>
            </w:pPr>
            <w:r>
              <w:rPr>
                <w:rFonts w:ascii="Arial" w:hAnsi="Arial"/>
                <w:b w:val="0"/>
                <w:i w:val="0"/>
                <w:sz w:val="16"/>
              </w:rPr>
              <w:t>Main (412) 555-0143  |  Care Management (412) 555-0162</w:t>
            </w:r>
          </w:p>
        </w:tc>
        <w:tc>
          <w:tcPr>
            <w:tcW w:type="dxa" w:w="2880"/>
            <w:tcBorders>
              <w:top w:val="single" w:sz="4" w:color="000000"/>
              <w:left w:val="single" w:sz="4" w:color="000000"/>
              <w:bottom w:val="single" w:sz="4" w:color="000000"/>
              <w:right w:val="single" w:sz="4" w:color="000000"/>
            </w:tcBorders>
          </w:tcPr>
          <w:p>
            <w:pPr>
              <w:spacing w:after="0"/>
              <w:jc w:val="right"/>
            </w:pPr>
            <w:r/>
            <w:r>
              <w:rPr>
                <w:rFonts w:ascii="Arial" w:hAnsi="Arial"/>
                <w:b/>
                <w:i w:val="0"/>
                <w:sz w:val="19"/>
              </w:rPr>
              <w:t>Confidential</w:t>
            </w:r>
          </w:p>
          <w:p>
            <w:pPr>
              <w:spacing w:after="0"/>
              <w:jc w:val="right"/>
            </w:pPr>
            <w:r>
              <w:rPr>
                <w:rFonts w:ascii="Arial" w:hAnsi="Arial"/>
                <w:b w:val="0"/>
                <w:i/>
                <w:sz w:val="16"/>
              </w:rPr>
              <w:t>Patient-Identifiable Health Information</w:t>
            </w:r>
          </w:p>
          <w:p>
            <w:pPr>
              <w:spacing w:after="0"/>
              <w:jc w:val="right"/>
            </w:pPr>
            <w:r>
              <w:rPr>
                <w:rFonts w:ascii="Arial" w:hAnsi="Arial"/>
                <w:b w:val="0"/>
                <w:i w:val="0"/>
                <w:sz w:val="16"/>
              </w:rPr>
              <w:t>Family Communication /</w:t>
            </w:r>
          </w:p>
          <w:p>
            <w:pPr>
              <w:spacing w:after="0"/>
              <w:jc w:val="right"/>
            </w:pPr>
            <w:r>
              <w:rPr>
                <w:rFonts w:ascii="Arial" w:hAnsi="Arial"/>
                <w:b w:val="0"/>
                <w:i w:val="0"/>
                <w:sz w:val="16"/>
              </w:rPr>
              <w:t>Care Conference Note</w:t>
            </w:r>
          </w:p>
        </w:tc>
      </w:tr>
    </w:tbl>
    <w:p>
      <w:pPr>
        <w:spacing w:after="40" w:before="0"/>
      </w:pPr>
    </w:p>
    <w:p>
      <w:pPr>
        <w:spacing w:after="40" w:before="80"/>
        <w:jc w:val="center"/>
      </w:pPr>
      <w:r>
        <w:rPr>
          <w:rFonts w:ascii="Arial" w:hAnsi="Arial"/>
          <w:b/>
          <w:i w:val="0"/>
          <w:sz w:val="28"/>
        </w:rPr>
        <w:t>FAMILY COMMUNICATION / CARE CONFERENCE NOTE</w:t>
      </w:r>
    </w:p>
    <w:p>
      <w:pPr>
        <w:spacing w:after="80" w:before="0"/>
        <w:jc w:val="center"/>
      </w:pPr>
      <w:r>
        <w:rPr>
          <w:rFonts w:ascii="Arial" w:hAnsi="Arial"/>
          <w:b w:val="0"/>
          <w:i/>
          <w:sz w:val="16"/>
        </w:rPr>
        <w:t>Care Management / Social Work — bedside conference, Hospital Day 5</w:t>
      </w:r>
    </w:p>
    <w:tbl>
      <w:tblPr>
        <w:tblW w:type="auto" w:w="0"/>
        <w:tblLayout w:type="fixed"/>
        <w:tblLook w:firstColumn="1" w:firstRow="1" w:lastColumn="0" w:lastRow="0" w:noHBand="0" w:noVBand="1" w:val="04A0"/>
      </w:tblPr>
      <w:tblGrid>
        <w:gridCol w:w="2592"/>
        <w:gridCol w:w="2592"/>
        <w:gridCol w:w="2592"/>
        <w:gridCol w:w="2592"/>
      </w:tblGrid>
      <w:tr>
        <w:tc>
          <w:tcPr>
            <w:tcW w:type="dxa" w:w="1584"/>
            <w:shd w:val="clear" w:color="auto" w:fill="F2F2F2"/>
            <w:tcBorders>
              <w:top w:val="single" w:sz="4" w:color="808080"/>
              <w:left w:val="single" w:sz="4" w:color="808080"/>
              <w:bottom w:val="single" w:sz="4" w:color="808080"/>
              <w:right w:val="single" w:sz="4" w:color="808080"/>
            </w:tcBorders>
          </w:tcPr>
          <w:p>
            <w:pPr>
              <w:spacing w:after="0" w:before="0"/>
            </w:pPr>
            <w:r/>
            <w:r>
              <w:rPr>
                <w:rFonts w:ascii="Arial" w:hAnsi="Arial"/>
                <w:b/>
                <w:i w:val="0"/>
                <w:sz w:val="19"/>
              </w:rPr>
              <w:t>Patient</w:t>
            </w:r>
          </w:p>
        </w:tc>
        <w:tc>
          <w:tcPr>
            <w:tcW w:type="dxa" w:w="3672"/>
            <w:tcBorders>
              <w:top w:val="single" w:sz="4" w:color="808080"/>
              <w:left w:val="single" w:sz="4" w:color="808080"/>
              <w:bottom w:val="single" w:sz="4" w:color="808080"/>
              <w:right w:val="single" w:sz="4" w:color="808080"/>
            </w:tcBorders>
          </w:tcPr>
          <w:p>
            <w:pPr>
              <w:spacing w:after="0" w:before="0"/>
            </w:pPr>
            <w:r/>
            <w:r>
              <w:rPr>
                <w:rFonts w:ascii="Arial" w:hAnsi="Arial"/>
                <w:b w:val="0"/>
                <w:i w:val="0"/>
                <w:sz w:val="19"/>
              </w:rPr>
              <w:t>Korvin Merrow</w:t>
            </w:r>
          </w:p>
        </w:tc>
        <w:tc>
          <w:tcPr>
            <w:tcW w:type="dxa" w:w="1584"/>
            <w:shd w:val="clear" w:color="auto" w:fill="F2F2F2"/>
            <w:tcBorders>
              <w:top w:val="single" w:sz="4" w:color="808080"/>
              <w:left w:val="single" w:sz="4" w:color="808080"/>
              <w:bottom w:val="single" w:sz="4" w:color="808080"/>
              <w:right w:val="single" w:sz="4" w:color="808080"/>
            </w:tcBorders>
          </w:tcPr>
          <w:p>
            <w:pPr>
              <w:spacing w:after="0" w:before="0"/>
            </w:pPr>
            <w:r/>
            <w:r>
              <w:rPr>
                <w:rFonts w:ascii="Arial" w:hAnsi="Arial"/>
                <w:b/>
                <w:i w:val="0"/>
                <w:sz w:val="19"/>
              </w:rPr>
              <w:t>DOB</w:t>
            </w:r>
          </w:p>
        </w:tc>
        <w:tc>
          <w:tcPr>
            <w:tcW w:type="dxa" w:w="3528"/>
            <w:tcBorders>
              <w:top w:val="single" w:sz="4" w:color="808080"/>
              <w:left w:val="single" w:sz="4" w:color="808080"/>
              <w:bottom w:val="single" w:sz="4" w:color="808080"/>
              <w:right w:val="single" w:sz="4" w:color="808080"/>
            </w:tcBorders>
          </w:tcPr>
          <w:p>
            <w:pPr>
              <w:spacing w:after="0" w:before="0"/>
            </w:pPr>
            <w:r/>
            <w:r>
              <w:rPr>
                <w:rFonts w:ascii="Arial" w:hAnsi="Arial"/>
                <w:b w:val="0"/>
                <w:i w:val="0"/>
                <w:sz w:val="19"/>
              </w:rPr>
              <w:t>02/18/1964 (age 62)</w:t>
            </w:r>
          </w:p>
        </w:tc>
      </w:tr>
      <w:tr>
        <w:tc>
          <w:tcPr>
            <w:tcW w:type="dxa" w:w="1584"/>
            <w:shd w:val="clear" w:color="auto" w:fill="F2F2F2"/>
            <w:tcBorders>
              <w:top w:val="single" w:sz="4" w:color="808080"/>
              <w:left w:val="single" w:sz="4" w:color="808080"/>
              <w:bottom w:val="single" w:sz="4" w:color="808080"/>
              <w:right w:val="single" w:sz="4" w:color="808080"/>
            </w:tcBorders>
          </w:tcPr>
          <w:p>
            <w:pPr>
              <w:spacing w:after="0" w:before="0"/>
            </w:pPr>
            <w:r/>
            <w:r>
              <w:rPr>
                <w:rFonts w:ascii="Arial" w:hAnsi="Arial"/>
                <w:b/>
                <w:i w:val="0"/>
                <w:sz w:val="19"/>
              </w:rPr>
              <w:t>MRN</w:t>
            </w:r>
          </w:p>
        </w:tc>
        <w:tc>
          <w:tcPr>
            <w:tcW w:type="dxa" w:w="3672"/>
            <w:tcBorders>
              <w:top w:val="single" w:sz="4" w:color="808080"/>
              <w:left w:val="single" w:sz="4" w:color="808080"/>
              <w:bottom w:val="single" w:sz="4" w:color="808080"/>
              <w:right w:val="single" w:sz="4" w:color="808080"/>
            </w:tcBorders>
          </w:tcPr>
          <w:p>
            <w:pPr>
              <w:spacing w:after="0" w:before="0"/>
            </w:pPr>
            <w:r/>
            <w:r>
              <w:rPr>
                <w:rFonts w:ascii="Arial" w:hAnsi="Arial"/>
                <w:b w:val="0"/>
                <w:i w:val="0"/>
                <w:sz w:val="19"/>
              </w:rPr>
              <w:t>KM-6427819</w:t>
            </w:r>
          </w:p>
        </w:tc>
        <w:tc>
          <w:tcPr>
            <w:tcW w:type="dxa" w:w="1584"/>
            <w:shd w:val="clear" w:color="auto" w:fill="F2F2F2"/>
            <w:tcBorders>
              <w:top w:val="single" w:sz="4" w:color="808080"/>
              <w:left w:val="single" w:sz="4" w:color="808080"/>
              <w:bottom w:val="single" w:sz="4" w:color="808080"/>
              <w:right w:val="single" w:sz="4" w:color="808080"/>
            </w:tcBorders>
          </w:tcPr>
          <w:p>
            <w:pPr>
              <w:spacing w:after="0" w:before="0"/>
            </w:pPr>
            <w:r/>
            <w:r>
              <w:rPr>
                <w:rFonts w:ascii="Arial" w:hAnsi="Arial"/>
                <w:b/>
                <w:i w:val="0"/>
                <w:sz w:val="19"/>
              </w:rPr>
              <w:t>FIN</w:t>
            </w:r>
          </w:p>
        </w:tc>
        <w:tc>
          <w:tcPr>
            <w:tcW w:type="dxa" w:w="3528"/>
            <w:tcBorders>
              <w:top w:val="single" w:sz="4" w:color="808080"/>
              <w:left w:val="single" w:sz="4" w:color="808080"/>
              <w:bottom w:val="single" w:sz="4" w:color="808080"/>
              <w:right w:val="single" w:sz="4" w:color="808080"/>
            </w:tcBorders>
          </w:tcPr>
          <w:p>
            <w:pPr>
              <w:spacing w:after="0" w:before="0"/>
            </w:pPr>
            <w:r/>
            <w:r>
              <w:rPr>
                <w:rFonts w:ascii="Arial" w:hAnsi="Arial"/>
                <w:b w:val="0"/>
                <w:i w:val="0"/>
                <w:sz w:val="19"/>
              </w:rPr>
              <w:t>KM-2026-051877</w:t>
            </w:r>
          </w:p>
        </w:tc>
      </w:tr>
      <w:tr>
        <w:tc>
          <w:tcPr>
            <w:tcW w:type="dxa" w:w="1584"/>
            <w:shd w:val="clear" w:color="auto" w:fill="F2F2F2"/>
            <w:tcBorders>
              <w:top w:val="single" w:sz="4" w:color="808080"/>
              <w:left w:val="single" w:sz="4" w:color="808080"/>
              <w:bottom w:val="single" w:sz="4" w:color="808080"/>
              <w:right w:val="single" w:sz="4" w:color="808080"/>
            </w:tcBorders>
          </w:tcPr>
          <w:p>
            <w:pPr>
              <w:spacing w:after="0" w:before="0"/>
            </w:pPr>
            <w:r/>
            <w:r>
              <w:rPr>
                <w:rFonts w:ascii="Arial" w:hAnsi="Arial"/>
                <w:b/>
                <w:i w:val="0"/>
                <w:sz w:val="19"/>
              </w:rPr>
              <w:t>Unit / Room</w:t>
            </w:r>
          </w:p>
        </w:tc>
        <w:tc>
          <w:tcPr>
            <w:tcW w:type="dxa" w:w="3672"/>
            <w:tcBorders>
              <w:top w:val="single" w:sz="4" w:color="808080"/>
              <w:left w:val="single" w:sz="4" w:color="808080"/>
              <w:bottom w:val="single" w:sz="4" w:color="808080"/>
              <w:right w:val="single" w:sz="4" w:color="808080"/>
            </w:tcBorders>
          </w:tcPr>
          <w:p>
            <w:pPr>
              <w:spacing w:after="0" w:before="0"/>
            </w:pPr>
            <w:r/>
            <w:r>
              <w:rPr>
                <w:rFonts w:ascii="Arial" w:hAnsi="Arial"/>
                <w:b w:val="0"/>
                <w:i w:val="0"/>
                <w:sz w:val="19"/>
              </w:rPr>
              <w:t>5 West Medical, Room 5W-318</w:t>
            </w:r>
          </w:p>
        </w:tc>
        <w:tc>
          <w:tcPr>
            <w:tcW w:type="dxa" w:w="1584"/>
            <w:shd w:val="clear" w:color="auto" w:fill="F2F2F2"/>
            <w:tcBorders>
              <w:top w:val="single" w:sz="4" w:color="808080"/>
              <w:left w:val="single" w:sz="4" w:color="808080"/>
              <w:bottom w:val="single" w:sz="4" w:color="808080"/>
              <w:right w:val="single" w:sz="4" w:color="808080"/>
            </w:tcBorders>
          </w:tcPr>
          <w:p>
            <w:pPr>
              <w:spacing w:after="0" w:before="0"/>
            </w:pPr>
            <w:r/>
            <w:r>
              <w:rPr>
                <w:rFonts w:ascii="Arial" w:hAnsi="Arial"/>
                <w:b/>
                <w:i w:val="0"/>
                <w:sz w:val="19"/>
              </w:rPr>
              <w:t>Allergies</w:t>
            </w:r>
          </w:p>
        </w:tc>
        <w:tc>
          <w:tcPr>
            <w:tcW w:type="dxa" w:w="3528"/>
            <w:tcBorders>
              <w:top w:val="single" w:sz="4" w:color="808080"/>
              <w:left w:val="single" w:sz="4" w:color="808080"/>
              <w:bottom w:val="single" w:sz="4" w:color="808080"/>
              <w:right w:val="single" w:sz="4" w:color="808080"/>
            </w:tcBorders>
          </w:tcPr>
          <w:p>
            <w:pPr>
              <w:spacing w:after="0" w:before="0"/>
            </w:pPr>
            <w:r/>
            <w:r>
              <w:rPr>
                <w:rFonts w:ascii="Arial" w:hAnsi="Arial"/>
                <w:b w:val="0"/>
                <w:i w:val="0"/>
                <w:sz w:val="19"/>
              </w:rPr>
              <w:t>Lisinopril (cough)</w:t>
            </w:r>
          </w:p>
        </w:tc>
      </w:tr>
      <w:tr>
        <w:tc>
          <w:tcPr>
            <w:tcW w:type="dxa" w:w="1584"/>
            <w:shd w:val="clear" w:color="auto" w:fill="F2F2F2"/>
            <w:tcBorders>
              <w:top w:val="single" w:sz="4" w:color="808080"/>
              <w:left w:val="single" w:sz="4" w:color="808080"/>
              <w:bottom w:val="single" w:sz="4" w:color="808080"/>
              <w:right w:val="single" w:sz="4" w:color="808080"/>
            </w:tcBorders>
          </w:tcPr>
          <w:p>
            <w:pPr>
              <w:spacing w:after="0" w:before="0"/>
            </w:pPr>
            <w:r/>
            <w:r>
              <w:rPr>
                <w:rFonts w:ascii="Arial" w:hAnsi="Arial"/>
                <w:b/>
                <w:i w:val="0"/>
                <w:sz w:val="19"/>
              </w:rPr>
              <w:t>Attending</w:t>
            </w:r>
          </w:p>
        </w:tc>
        <w:tc>
          <w:tcPr>
            <w:tcW w:type="dxa" w:w="3672"/>
            <w:tcBorders>
              <w:top w:val="single" w:sz="4" w:color="808080"/>
              <w:left w:val="single" w:sz="4" w:color="808080"/>
              <w:bottom w:val="single" w:sz="4" w:color="808080"/>
              <w:right w:val="single" w:sz="4" w:color="808080"/>
            </w:tcBorders>
          </w:tcPr>
          <w:p>
            <w:pPr>
              <w:spacing w:after="0" w:before="0"/>
            </w:pPr>
            <w:r/>
            <w:r>
              <w:rPr>
                <w:rFonts w:ascii="Arial" w:hAnsi="Arial"/>
                <w:b w:val="0"/>
                <w:i w:val="0"/>
                <w:sz w:val="19"/>
              </w:rPr>
              <w:t>Elian Vossmere, MD (Hospital Medicine)</w:t>
            </w:r>
          </w:p>
        </w:tc>
        <w:tc>
          <w:tcPr>
            <w:tcW w:type="dxa" w:w="1584"/>
            <w:shd w:val="clear" w:color="auto" w:fill="F2F2F2"/>
            <w:tcBorders>
              <w:top w:val="single" w:sz="4" w:color="808080"/>
              <w:left w:val="single" w:sz="4" w:color="808080"/>
              <w:bottom w:val="single" w:sz="4" w:color="808080"/>
              <w:right w:val="single" w:sz="4" w:color="808080"/>
            </w:tcBorders>
          </w:tcPr>
          <w:p>
            <w:pPr>
              <w:spacing w:after="0" w:before="0"/>
            </w:pPr>
            <w:r/>
            <w:r>
              <w:rPr>
                <w:rFonts w:ascii="Arial" w:hAnsi="Arial"/>
                <w:b/>
                <w:i w:val="0"/>
                <w:sz w:val="19"/>
              </w:rPr>
              <w:t>Code Status</w:t>
            </w:r>
          </w:p>
        </w:tc>
        <w:tc>
          <w:tcPr>
            <w:tcW w:type="dxa" w:w="3528"/>
            <w:tcBorders>
              <w:top w:val="single" w:sz="4" w:color="808080"/>
              <w:left w:val="single" w:sz="4" w:color="808080"/>
              <w:bottom w:val="single" w:sz="4" w:color="808080"/>
              <w:right w:val="single" w:sz="4" w:color="808080"/>
            </w:tcBorders>
          </w:tcPr>
          <w:p>
            <w:pPr>
              <w:spacing w:after="0" w:before="0"/>
            </w:pPr>
            <w:r/>
            <w:r>
              <w:rPr>
                <w:rFonts w:ascii="Arial" w:hAnsi="Arial"/>
                <w:b w:val="0"/>
                <w:i w:val="0"/>
                <w:sz w:val="19"/>
              </w:rPr>
              <w:t>Full Code (confirmed 05/18/2026)</w:t>
            </w:r>
          </w:p>
        </w:tc>
      </w:tr>
      <w:tr>
        <w:tc>
          <w:tcPr>
            <w:tcW w:type="dxa" w:w="1584"/>
            <w:shd w:val="clear" w:color="auto" w:fill="F2F2F2"/>
            <w:tcBorders>
              <w:top w:val="single" w:sz="4" w:color="808080"/>
              <w:left w:val="single" w:sz="4" w:color="808080"/>
              <w:bottom w:val="single" w:sz="4" w:color="808080"/>
              <w:right w:val="single" w:sz="4" w:color="808080"/>
            </w:tcBorders>
          </w:tcPr>
          <w:p>
            <w:pPr>
              <w:spacing w:after="0" w:before="0"/>
            </w:pPr>
            <w:r/>
            <w:r>
              <w:rPr>
                <w:rFonts w:ascii="Arial" w:hAnsi="Arial"/>
                <w:b/>
                <w:i w:val="0"/>
                <w:sz w:val="19"/>
              </w:rPr>
              <w:t>Document</w:t>
            </w:r>
          </w:p>
        </w:tc>
        <w:tc>
          <w:tcPr>
            <w:tcW w:type="dxa" w:w="3672"/>
            <w:tcBorders>
              <w:top w:val="single" w:sz="4" w:color="808080"/>
              <w:left w:val="single" w:sz="4" w:color="808080"/>
              <w:bottom w:val="single" w:sz="4" w:color="808080"/>
              <w:right w:val="single" w:sz="4" w:color="808080"/>
            </w:tcBorders>
          </w:tcPr>
          <w:p>
            <w:pPr>
              <w:spacing w:after="0" w:before="0"/>
            </w:pPr>
            <w:r/>
            <w:r>
              <w:rPr>
                <w:rFonts w:ascii="Arial" w:hAnsi="Arial"/>
                <w:b w:val="0"/>
                <w:i w:val="0"/>
                <w:sz w:val="19"/>
              </w:rPr>
              <w:t>Family Communication / Care Conference Note</w:t>
            </w:r>
          </w:p>
        </w:tc>
        <w:tc>
          <w:tcPr>
            <w:tcW w:type="dxa" w:w="1584"/>
            <w:shd w:val="clear" w:color="auto" w:fill="F2F2F2"/>
            <w:tcBorders>
              <w:top w:val="single" w:sz="4" w:color="808080"/>
              <w:left w:val="single" w:sz="4" w:color="808080"/>
              <w:bottom w:val="single" w:sz="4" w:color="808080"/>
              <w:right w:val="single" w:sz="4" w:color="808080"/>
            </w:tcBorders>
          </w:tcPr>
          <w:p>
            <w:pPr>
              <w:spacing w:after="0" w:before="0"/>
            </w:pPr>
            <w:r/>
            <w:r>
              <w:rPr>
                <w:rFonts w:ascii="Arial" w:hAnsi="Arial"/>
                <w:b/>
                <w:i w:val="0"/>
                <w:sz w:val="19"/>
              </w:rPr>
              <w:t>Date / Anchor</w:t>
            </w:r>
          </w:p>
        </w:tc>
        <w:tc>
          <w:tcPr>
            <w:tcW w:type="dxa" w:w="3528"/>
            <w:tcBorders>
              <w:top w:val="single" w:sz="4" w:color="808080"/>
              <w:left w:val="single" w:sz="4" w:color="808080"/>
              <w:bottom w:val="single" w:sz="4" w:color="808080"/>
              <w:right w:val="single" w:sz="4" w:color="808080"/>
            </w:tcBorders>
          </w:tcPr>
          <w:p>
            <w:pPr>
              <w:spacing w:after="0" w:before="0"/>
            </w:pPr>
            <w:r>
              <w:t>05/22/2026 (HD5), with 05/23/2026 (HD6) addendum</w:t>
            </w:r>
          </w:p>
        </w:tc>
      </w:tr>
      <w:tr>
        <w:tc>
          <w:tcPr>
            <w:tcW w:type="dxa" w:w="1584"/>
            <w:shd w:val="clear" w:color="auto" w:fill="F2F2F2"/>
            <w:tcBorders>
              <w:top w:val="single" w:sz="4" w:color="808080"/>
              <w:left w:val="single" w:sz="4" w:color="808080"/>
              <w:bottom w:val="single" w:sz="4" w:color="808080"/>
              <w:right w:val="single" w:sz="4" w:color="808080"/>
            </w:tcBorders>
          </w:tcPr>
          <w:p>
            <w:pPr>
              <w:spacing w:after="0" w:before="0"/>
            </w:pPr>
            <w:r/>
            <w:r>
              <w:rPr>
                <w:rFonts w:ascii="Arial" w:hAnsi="Arial"/>
                <w:b/>
                <w:i w:val="0"/>
                <w:sz w:val="19"/>
              </w:rPr>
              <w:t>Author</w:t>
            </w:r>
          </w:p>
        </w:tc>
        <w:tc>
          <w:tcPr>
            <w:tcW w:type="dxa" w:w="3672"/>
            <w:tcBorders>
              <w:top w:val="single" w:sz="4" w:color="808080"/>
              <w:left w:val="single" w:sz="4" w:color="808080"/>
              <w:bottom w:val="single" w:sz="4" w:color="808080"/>
              <w:right w:val="single" w:sz="4" w:color="808080"/>
            </w:tcBorders>
          </w:tcPr>
          <w:p>
            <w:pPr>
              <w:spacing w:after="0" w:before="0"/>
            </w:pPr>
            <w:r/>
            <w:r>
              <w:rPr>
                <w:rFonts w:ascii="Arial" w:hAnsi="Arial"/>
                <w:b w:val="0"/>
                <w:i w:val="0"/>
                <w:sz w:val="19"/>
              </w:rPr>
              <w:t>Devra Aimes, LCSW (Care Management / Social Work)</w:t>
            </w:r>
          </w:p>
        </w:tc>
        <w:tc>
          <w:tcPr>
            <w:tcW w:type="dxa" w:w="1584"/>
            <w:shd w:val="clear" w:color="auto" w:fill="F2F2F2"/>
            <w:tcBorders>
              <w:top w:val="single" w:sz="4" w:color="808080"/>
              <w:left w:val="single" w:sz="4" w:color="808080"/>
              <w:bottom w:val="single" w:sz="4" w:color="808080"/>
              <w:right w:val="single" w:sz="4" w:color="808080"/>
            </w:tcBorders>
          </w:tcPr>
          <w:p>
            <w:pPr>
              <w:spacing w:after="0" w:before="0"/>
            </w:pPr>
            <w:r/>
            <w:r>
              <w:rPr>
                <w:rFonts w:ascii="Arial" w:hAnsi="Arial"/>
                <w:b/>
                <w:i w:val="0"/>
                <w:sz w:val="19"/>
              </w:rPr>
              <w:t>Attestation</w:t>
            </w:r>
          </w:p>
        </w:tc>
        <w:tc>
          <w:tcPr>
            <w:tcW w:type="dxa" w:w="3528"/>
            <w:tcBorders>
              <w:top w:val="single" w:sz="4" w:color="808080"/>
              <w:left w:val="single" w:sz="4" w:color="808080"/>
              <w:bottom w:val="single" w:sz="4" w:color="808080"/>
              <w:right w:val="single" w:sz="4" w:color="808080"/>
            </w:tcBorders>
          </w:tcPr>
          <w:p>
            <w:pPr>
              <w:spacing w:after="0" w:before="0"/>
            </w:pPr>
            <w:r/>
            <w:r>
              <w:rPr>
                <w:rFonts w:ascii="Arial" w:hAnsi="Arial"/>
                <w:b w:val="0"/>
                <w:i w:val="0"/>
                <w:sz w:val="19"/>
              </w:rPr>
              <w:t>Elian Vossmere, MD, attending hospitalist</w:t>
            </w:r>
          </w:p>
        </w:tc>
      </w:tr>
    </w:tbl>
    <w:p>
      <w:pPr>
        <w:spacing w:after="40" w:before="0"/>
      </w:pPr>
    </w:p>
    <w:p>
      <w:pPr>
        <w:spacing w:before="40" w:after="40"/>
        <w:pBdr>
          <w:bottom w:val="single" w:sz="6" w:space="1" w:color="808080"/>
        </w:pBdr>
      </w:pPr>
    </w:p>
    <w:p>
      <w:pPr>
        <w:spacing w:after="40"/>
      </w:pPr>
      <w:r>
        <w:t>Conference date / time: 05/22/2026, 14:10–14:55, conducted at the bedside in Room 5W-318 with simultaneous telephone participation by daughter.</w:t>
      </w:r>
    </w:p>
    <w:p>
      <w:pPr>
        <w:spacing w:after="40" w:before="80"/>
      </w:pPr>
      <w:r>
        <w:rPr>
          <w:rFonts w:ascii="Arial" w:hAnsi="Arial"/>
          <w:b/>
          <w:i w:val="0"/>
          <w:sz w:val="19"/>
        </w:rPr>
        <w:t>Family participants:</w:t>
      </w:r>
    </w:p>
    <w:p>
      <w:pPr>
        <w:pStyle w:val="ListBullet"/>
        <w:spacing w:after="20" w:before="0"/>
      </w:pPr>
      <w:r>
        <w:rPr>
          <w:rFonts w:ascii="Arial" w:hAnsi="Arial"/>
          <w:b w:val="0"/>
          <w:i w:val="0"/>
          <w:sz w:val="19"/>
        </w:rPr>
        <w:t>Mara Merrow — wife, designated healthcare proxy, primary historian and family contact. Phone (412) 555-0229; email mara.merrow@example.org. Present in person.</w:t>
      </w:r>
    </w:p>
    <w:p>
      <w:pPr>
        <w:pStyle w:val="ListBullet"/>
        <w:spacing w:after="20" w:before="0"/>
      </w:pPr>
      <w:r>
        <w:rPr>
          <w:rFonts w:ascii="Arial" w:hAnsi="Arial"/>
          <w:b w:val="0"/>
          <w:i w:val="0"/>
          <w:sz w:val="19"/>
        </w:rPr>
        <w:t>Lenora Merrow-Halsey — adult daughter. Phone (412) 555-0231. Joined by telephone for the medication and supervision portion of the conversation.</w:t>
      </w:r>
    </w:p>
    <w:p>
      <w:pPr>
        <w:spacing w:after="40" w:before="80"/>
      </w:pPr>
      <w:r>
        <w:rPr>
          <w:rFonts w:ascii="Arial" w:hAnsi="Arial"/>
          <w:b/>
          <w:i w:val="0"/>
          <w:sz w:val="19"/>
        </w:rPr>
        <w:t xml:space="preserve">Team participants: </w:t>
      </w:r>
      <w:r>
        <w:rPr>
          <w:rFonts w:ascii="Arial" w:hAnsi="Arial"/>
          <w:b w:val="0"/>
          <w:i w:val="0"/>
          <w:sz w:val="19"/>
        </w:rPr>
        <w:t>Devra Aimes, LCSW; Priya Ostroff, RN, BSN, CCM (care manager); Ines Travyn, MD (hospitalist resident, with attending Vossmere updated post-conference and attesting); Aila Rensby, RN (day-shift charge). Renna Volkos, DPT and Brennan Sayre, OTR/L contributed written assessments reviewed during the conference.</w:t>
      </w:r>
    </w:p>
    <w:p>
      <w:pPr>
        <w:spacing w:after="40" w:before="80"/>
      </w:pPr>
      <w:r>
        <w:rPr>
          <w:rFonts w:ascii="Arial" w:hAnsi="Arial"/>
          <w:b/>
          <w:i w:val="0"/>
          <w:sz w:val="19"/>
        </w:rPr>
        <w:t xml:space="preserve">Purpose: </w:t>
      </w:r>
      <w:r>
        <w:rPr>
          <w:rFonts w:ascii="Arial" w:hAnsi="Arial"/>
          <w:b w:val="0"/>
          <w:i w:val="0"/>
          <w:sz w:val="19"/>
        </w:rPr>
        <w:t>Anticipated discharge planning is becoming plausible; the conference was convened to align the family with the working clinical picture, to document family-held baseline and supervision information, and to identify outstanding questions that must be answered before any discharge order is written.</w:t>
      </w:r>
    </w:p>
    <w:p>
      <w:pPr>
        <w:spacing w:before="40" w:after="40"/>
        <w:pBdr>
          <w:bottom w:val="single" w:sz="6" w:space="1" w:color="808080"/>
        </w:pBdr>
      </w:pPr>
    </w:p>
    <w:p>
      <w:pPr>
        <w:spacing w:after="60" w:before="160"/>
      </w:pPr>
      <w:r>
        <w:rPr>
          <w:rFonts w:ascii="Arial" w:hAnsi="Arial"/>
          <w:b/>
          <w:i w:val="0"/>
          <w:sz w:val="20"/>
        </w:rPr>
        <w:t>1. PRIOR DOCUMENTED TOUCHPOINTS (BACKGROUND, IN THIS CHART THREAD)</w:t>
      </w:r>
    </w:p>
    <w:p>
      <w:pPr>
        <w:pStyle w:val="ListBullet"/>
        <w:spacing w:after="40"/>
      </w:pPr>
      <w:r>
        <w:t>05/20/2026 (HD3) family update. Mara reported that Korvin "looks better but is not back to his usual self," requires more prompting than at baseline, tires quickly, and appears less organized when discussing his medications. She raised concern that improvement in fever or laboratory numbers should not be assumed to mean readiness for home tasks.</w:t>
      </w:r>
    </w:p>
    <w:p>
      <w:pPr>
        <w:pStyle w:val="ListBullet"/>
        <w:spacing w:after="40"/>
      </w:pPr>
      <w:r>
        <w:t>05/21/2026 (HD4) steroid history clarification. Mara stated she is unsure whether Korvin actually followed the intended prednisone taper at home. The bottles in the house and the patient's own recollection may not fully explain his pre-admission decline. She asked directly whether his weakness could be "from more than the infection." This input was received as a question, not a conclusion, and was routed to the rheumatology provenance review and the endocrinology consult already in progress.</w:t>
      </w:r>
    </w:p>
    <w:p>
      <w:pPr>
        <w:pStyle w:val="ListBullet"/>
        <w:spacing w:after="40"/>
      </w:pPr>
      <w:r>
        <w:t>The canonical family observation from triage on 05/18/2026 remains in the chart and was re-read aloud during today's conference: "This is not his normal. He is usually slow, but he knows what he is doing." Mara confirmed she still holds that comparison.</w:t>
      </w:r>
    </w:p>
    <w:p>
      <w:pPr>
        <w:spacing w:after="60" w:before="160"/>
      </w:pPr>
      <w:r>
        <w:rPr>
          <w:rFonts w:ascii="Arial" w:hAnsi="Arial"/>
          <w:b/>
          <w:i w:val="0"/>
          <w:sz w:val="20"/>
        </w:rPr>
        <w:t>2. FAMILY REPORT AT TODAY'S CONFERENCE (HD5)</w:t>
      </w:r>
    </w:p>
    <w:p>
      <w:pPr>
        <w:spacing w:after="60" w:before="0"/>
      </w:pPr>
      <w:r>
        <w:rPr>
          <w:rFonts w:ascii="Arial" w:hAnsi="Arial"/>
          <w:b w:val="0"/>
          <w:i w:val="0"/>
          <w:sz w:val="19"/>
        </w:rPr>
        <w:t>Mara described Korvin as clearly improved from admission. She emphasized that he is brighter in the mornings, eating better, and recognizes staff and visitors without prompting. She also described concerns that she wants on the record before discharge is finalized:</w:t>
      </w:r>
    </w:p>
    <w:p>
      <w:pPr>
        <w:pStyle w:val="ListBullet"/>
        <w:spacing w:after="20" w:before="0"/>
      </w:pPr>
      <w:r>
        <w:rPr>
          <w:rFonts w:ascii="Arial" w:hAnsi="Arial"/>
          <w:b w:val="0"/>
          <w:i w:val="0"/>
          <w:sz w:val="19"/>
        </w:rPr>
        <w:t>Stamina remains below his usual baseline. He fades within a short interval of effort and is not yet doing the routine self-directed activity she sees at home on an ordinary day.</w:t>
      </w:r>
    </w:p>
    <w:p>
      <w:pPr>
        <w:pStyle w:val="ListBullet"/>
        <w:spacing w:after="20" w:before="0"/>
      </w:pPr>
      <w:r>
        <w:rPr>
          <w:rFonts w:ascii="Arial" w:hAnsi="Arial"/>
          <w:b w:val="0"/>
          <w:i w:val="0"/>
          <w:sz w:val="19"/>
        </w:rPr>
        <w:t>She is worried about medication changes layered on top of his usual 19-item home regimen. She participates in his medication routine at home and knows that even small changes in instructions can be lost.</w:t>
      </w:r>
    </w:p>
    <w:p>
      <w:pPr>
        <w:pStyle w:val="ListBullet"/>
        <w:spacing w:after="20" w:before="0"/>
      </w:pPr>
      <w:r>
        <w:rPr>
          <w:rFonts w:ascii="Arial" w:hAnsi="Arial"/>
          <w:b w:val="0"/>
          <w:i w:val="0"/>
          <w:sz w:val="19"/>
        </w:rPr>
        <w:t>Korvin may verbally confirm that he understands an instruction and then forget the timing later in the day. She has seen this pattern at home for months and is seeing a deeper version of it now.</w:t>
      </w:r>
    </w:p>
    <w:p>
      <w:pPr>
        <w:pStyle w:val="ListBullet"/>
        <w:spacing w:after="20" w:before="0"/>
      </w:pPr>
      <w:r>
        <w:rPr>
          <w:rFonts w:ascii="Arial" w:hAnsi="Arial"/>
          <w:b w:val="0"/>
          <w:i w:val="0"/>
          <w:sz w:val="19"/>
        </w:rPr>
        <w:t>The family can be present and can supervise, but the specific supervision expectation is not yet clear to them — overnight, medication times, mobility, follow-up appointments.</w:t>
      </w:r>
    </w:p>
    <w:p>
      <w:pPr>
        <w:pStyle w:val="ListBullet"/>
        <w:spacing w:after="20" w:before="0"/>
      </w:pPr>
      <w:r>
        <w:rPr>
          <w:rFonts w:ascii="Arial" w:hAnsi="Arial"/>
          <w:b w:val="0"/>
          <w:i w:val="0"/>
          <w:sz w:val="19"/>
        </w:rPr>
        <w:t>She and Lenora want the follow-up plan and the home services explained clearly and in one place before discharge, including what to do if he becomes weaker or more confused again.</w:t>
      </w:r>
    </w:p>
    <w:p>
      <w:pPr>
        <w:spacing w:after="40" w:before="80"/>
      </w:pPr>
      <w:r>
        <w:rPr>
          <w:rFonts w:ascii="Arial" w:hAnsi="Arial"/>
          <w:b w:val="0"/>
          <w:i w:val="0"/>
          <w:sz w:val="19"/>
        </w:rPr>
        <w:t>Lenora added that she can cover weekend daytime supervision and transportation to follow-up appointments, but cannot reliably be in the home on weekday mornings.</w:t>
      </w:r>
    </w:p>
    <w:p>
      <w:pPr>
        <w:spacing w:after="60" w:before="160"/>
      </w:pPr>
      <w:r>
        <w:rPr>
          <w:rFonts w:ascii="Arial" w:hAnsi="Arial"/>
          <w:b/>
          <w:i w:val="0"/>
          <w:sz w:val="20"/>
        </w:rPr>
        <w:t>3. TEAM FRAMING SHARED WITH THE FAMILY</w:t>
      </w:r>
    </w:p>
    <w:p>
      <w:pPr>
        <w:spacing w:after="60" w:before="0"/>
      </w:pPr>
      <w:r>
        <w:t>The team described Korvin's improvement honestly: infection markers and renal trajectory are moving toward his baseline, he is eating and ambulating more, and his mental status is clearer than on admission. Outstanding items including medication-restart sequencing, steroid reconciliation, and the supervision plan were also discussed. PT recommends a rolling walker for the early post-discharge period; OT documented recurrent timing errors when Korvin was asked to organize his regimen under fatigue.</w:t>
      </w:r>
    </w:p>
    <w:p>
      <w:pPr>
        <w:spacing w:after="40" w:before="0"/>
      </w:pPr>
      <w:r>
        <w:rPr>
          <w:rFonts w:ascii="Arial" w:hAnsi="Arial"/>
          <w:b w:val="0"/>
          <w:i w:val="0"/>
          <w:sz w:val="19"/>
        </w:rPr>
        <w:t>Neither the family's caution nor the team's improvement picture was presented as the complete answer. Both are entered into the planning record.</w:t>
      </w:r>
    </w:p>
    <w:p>
      <w:pPr>
        <w:spacing w:after="60" w:before="160"/>
      </w:pPr>
      <w:r>
        <w:t>4. PLAN ITEMS ACTIVE AT CONFERENCE CLOSE (HD5)</w:t>
      </w:r>
    </w:p>
    <w:p>
      <w:pPr>
        <w:pStyle w:val="ListBullet"/>
        <w:spacing w:after="20" w:before="0"/>
      </w:pPr>
      <w:r>
        <w:rPr>
          <w:rFonts w:ascii="Arial" w:hAnsi="Arial"/>
          <w:b w:val="0"/>
          <w:i w:val="0"/>
          <w:sz w:val="19"/>
        </w:rPr>
        <w:t>Care management to continue pursuing home health nursing for early post-discharge medication review and monitoring; acceptance and authorization not yet confirmed.</w:t>
      </w:r>
    </w:p>
    <w:p>
      <w:pPr>
        <w:pStyle w:val="ListBullet"/>
        <w:spacing w:after="20" w:before="0"/>
      </w:pPr>
      <w:r>
        <w:rPr>
          <w:rFonts w:ascii="Arial" w:hAnsi="Arial"/>
          <w:b w:val="0"/>
          <w:i w:val="0"/>
          <w:sz w:val="19"/>
        </w:rPr>
        <w:t>PT/OT recommendations (rolling walker, supervised mobility for the first several days, pre-filled weekly pill organizer with family verification, teach-back with family present) carried into discharge planning.</w:t>
      </w:r>
    </w:p>
    <w:p>
      <w:pPr>
        <w:pStyle w:val="ListBullet"/>
        <w:spacing w:after="20" w:before="0"/>
      </w:pPr>
      <w:r>
        <w:rPr>
          <w:rFonts w:ascii="Arial" w:hAnsi="Arial"/>
          <w:b w:val="0"/>
          <w:i w:val="0"/>
          <w:sz w:val="19"/>
        </w:rPr>
        <w:t>Pharmacy reconciliation (E. Marlott, PharmD) and consultant restart-sequencing input from Cardiology, Nephrology, and Endocrinology to be integrated into a single medication list and explanation before any discharge order.</w:t>
      </w:r>
    </w:p>
    <w:p>
      <w:pPr>
        <w:pStyle w:val="ListBullet"/>
        <w:spacing w:after="20" w:before="0"/>
      </w:pPr>
      <w:r>
        <w:rPr>
          <w:rFonts w:ascii="Arial" w:hAnsi="Arial"/>
          <w:b w:val="0"/>
          <w:i w:val="0"/>
          <w:sz w:val="19"/>
        </w:rPr>
        <w:t>Rheumatology contact for prednisone taper clarification to be requested as part of post-discharge follow-up.</w:t>
      </w:r>
    </w:p>
    <w:p>
      <w:pPr>
        <w:pStyle w:val="ListBullet"/>
        <w:spacing w:after="20" w:before="0"/>
      </w:pPr>
      <w:r>
        <w:rPr>
          <w:rFonts w:ascii="Arial" w:hAnsi="Arial"/>
          <w:b w:val="0"/>
          <w:i w:val="0"/>
          <w:sz w:val="19"/>
        </w:rPr>
        <w:t>Family education appointment to be scheduled prior to discharge, with both Mara and (by phone) Lenora.</w:t>
      </w:r>
    </w:p>
    <w:p>
      <w:pPr>
        <w:spacing w:before="40" w:after="40"/>
        <w:pBdr>
          <w:bottom w:val="single" w:sz="6" w:space="1" w:color="808080"/>
        </w:pBdr>
      </w:pPr>
    </w:p>
    <w:p>
      <w:pPr>
        <w:spacing w:after="20" w:before="80"/>
        <w:jc w:val="left"/>
      </w:pPr>
      <w:r>
        <w:t>ADDENDUM — 05/23/2026 (HD6)</w:t>
      </w:r>
    </w:p>
    <w:p>
      <w:pPr>
        <w:spacing w:after="80" w:before="0"/>
      </w:pPr>
      <w:r>
        <w:rPr>
          <w:rFonts w:ascii="Arial" w:hAnsi="Arial"/>
          <w:b w:val="0"/>
          <w:i/>
          <w:sz w:val="19"/>
        </w:rPr>
        <w:t>Pre-discharge questions documented before 18:00</w:t>
      </w:r>
    </w:p>
    <w:p>
      <w:pPr>
        <w:spacing w:after="80" w:before="0"/>
      </w:pPr>
      <w:r>
        <w:t>Mara was met at the bedside on the morning of 05/23/2026 to review the questions she said she wanted answered before Korvin leaves the hospital. She again stated she wants him home as soon as it is safe, and acknowledged the improvement the team has described. Her summary observation, recorded verbatim:</w:t>
      </w:r>
    </w:p>
    <w:p>
      <w:pPr>
        <w:spacing w:before="40" w:after="80"/>
        <w:ind w:left="504" w:right="504"/>
      </w:pPr>
      <w:r>
        <w:rPr>
          <w:rFonts w:ascii="Arial" w:hAnsi="Arial"/>
          <w:b w:val="0"/>
          <w:i w:val="0"/>
          <w:sz w:val="19"/>
        </w:rPr>
        <w:t>“Better than Monday is not the same as ready to manage the next steps without support.”</w:t>
      </w:r>
    </w:p>
    <w:p>
      <w:pPr>
        <w:spacing w:after="60" w:before="0"/>
      </w:pPr>
      <w:r>
        <w:rPr>
          <w:rFonts w:ascii="Arial" w:hAnsi="Arial"/>
          <w:b w:val="0"/>
          <w:i w:val="0"/>
          <w:sz w:val="19"/>
        </w:rPr>
        <w:t>The following questions are entered as active care-planning items pending answers, not as resolved points:</w:t>
      </w:r>
    </w:p>
    <w:p>
      <w:pPr>
        <w:spacing w:after="40"/>
        <w:ind w:left="432" w:hanging="432"/>
      </w:pPr>
      <w:r>
        <w:rPr>
          <w:rFonts w:ascii="Arial" w:hAnsi="Arial"/>
          <w:b/>
          <w:i w:val="0"/>
          <w:sz w:val="19"/>
        </w:rPr>
        <w:t xml:space="preserve">1. </w:t>
      </w:r>
      <w:r>
        <w:rPr>
          <w:rFonts w:ascii="Arial" w:hAnsi="Arial"/>
          <w:b w:val="0"/>
          <w:i w:val="0"/>
          <w:sz w:val="19"/>
        </w:rPr>
        <w:t>Who will perform the final medication review with the family present, and when, so that the home list and the instructions match before Korvin leaves the building?</w:t>
      </w:r>
    </w:p>
    <w:p>
      <w:pPr>
        <w:spacing w:after="40"/>
        <w:ind w:left="432" w:hanging="432"/>
      </w:pPr>
      <w:r>
        <w:rPr>
          <w:rFonts w:ascii="Arial" w:hAnsi="Arial"/>
          <w:b/>
          <w:i w:val="0"/>
          <w:sz w:val="19"/>
        </w:rPr>
        <w:t xml:space="preserve">2. </w:t>
      </w:r>
      <w:r>
        <w:rPr>
          <w:rFonts w:ascii="Arial" w:hAnsi="Arial"/>
          <w:b w:val="0"/>
          <w:i w:val="0"/>
          <w:sz w:val="19"/>
        </w:rPr>
        <w:t>Will the heart and kidney medications be explained together, including which medications were held, which are being restarted, and which are conditional on follow-up labs?</w:t>
      </w:r>
    </w:p>
    <w:p>
      <w:pPr>
        <w:spacing w:after="40"/>
        <w:ind w:left="432" w:hanging="432"/>
      </w:pPr>
      <w:r>
        <w:rPr>
          <w:rFonts w:ascii="Arial" w:hAnsi="Arial"/>
          <w:b/>
          <w:i w:val="0"/>
          <w:sz w:val="19"/>
        </w:rPr>
        <w:t xml:space="preserve">3. </w:t>
      </w:r>
      <w:r>
        <w:rPr>
          <w:rFonts w:ascii="Arial" w:hAnsi="Arial"/>
          <w:b w:val="0"/>
          <w:i w:val="0"/>
          <w:sz w:val="19"/>
        </w:rPr>
        <w:t>How will the prednisone instructions be reconciled with Dr. Halvek's rheumatology history, given the uncertainty in the pre-admission taper?</w:t>
      </w:r>
    </w:p>
    <w:p>
      <w:pPr>
        <w:spacing w:after="40"/>
        <w:ind w:left="432" w:hanging="432"/>
      </w:pPr>
      <w:r>
        <w:rPr>
          <w:rFonts w:ascii="Arial" w:hAnsi="Arial"/>
          <w:b/>
          <w:i w:val="0"/>
          <w:sz w:val="19"/>
        </w:rPr>
        <w:t xml:space="preserve">4. </w:t>
      </w:r>
      <w:r>
        <w:rPr>
          <w:rFonts w:ascii="Arial" w:hAnsi="Arial"/>
          <w:b w:val="0"/>
          <w:i w:val="0"/>
          <w:sz w:val="19"/>
        </w:rPr>
        <w:t>What level of supervision is expected for the first days at home — overnight, around medication times, and during ambulation — and which family member is expected to cover which window?</w:t>
      </w:r>
    </w:p>
    <w:p>
      <w:pPr>
        <w:spacing w:after="40"/>
        <w:ind w:left="432" w:hanging="432"/>
      </w:pPr>
      <w:r>
        <w:rPr>
          <w:rFonts w:ascii="Arial" w:hAnsi="Arial"/>
          <w:b/>
          <w:i w:val="0"/>
          <w:sz w:val="19"/>
        </w:rPr>
        <w:t xml:space="preserve">5. </w:t>
      </w:r>
      <w:r>
        <w:rPr>
          <w:rFonts w:ascii="Arial" w:hAnsi="Arial"/>
          <w:b w:val="0"/>
          <w:i w:val="0"/>
          <w:sz w:val="19"/>
        </w:rPr>
        <w:t>What specific warning signs (e.g., recurrence of weakness, confusion, lightheadedness, decreased intake, weight change) should prompt a call, a clinic visit, or a return to the emergency department, and to whom should the call go?</w:t>
      </w:r>
    </w:p>
    <w:p>
      <w:pPr>
        <w:spacing w:after="40" w:before="80"/>
      </w:pPr>
      <w:r>
        <w:rPr>
          <w:rFonts w:ascii="Arial" w:hAnsi="Arial"/>
          <w:b w:val="0"/>
          <w:i w:val="0"/>
          <w:sz w:val="19"/>
        </w:rPr>
        <w:t>Each of these items is open at the time of this addendum.</w:t>
      </w:r>
    </w:p>
    <w:p>
      <w:pPr>
        <w:spacing w:before="40" w:after="40"/>
        <w:pBdr>
          <w:bottom w:val="single" w:sz="6" w:space="1" w:color="808080"/>
        </w:pBdr>
      </w:pPr>
    </w:p>
    <w:p>
      <w:pPr>
        <w:spacing w:before="80" w:after="80"/>
      </w:pPr>
      <w:r>
        <w:t>Documentation note. Family report is recorded here as the family's contribution to the care plan. It does not, by itself, determine final disposition, medication restart strategy, prednisone taper, or service-plan finalization.</w:t>
      </w:r>
    </w:p>
    <w:p>
      <w:pPr>
        <w:spacing w:before="160" w:after="40"/>
      </w:pPr>
      <w:r>
        <w:t>Electronically signed: Devra Aimes, LCSW — Care Management / Social Work, 05/22/2026 15:18; addendum 05/23/2026 11:42.</w:t>
      </w:r>
    </w:p>
    <w:p>
      <w:pPr>
        <w:spacing w:before="80" w:after="80"/>
      </w:pPr>
      <w:r>
        <w:t>Attending attestation: I have reviewed the family communication summary and the HD6 addendum, met with Mrs. Merrow at the bedside, and concur that the documented family observations and questions are accurate and remain open at the time of signing. — Elian Vossmere, MD, Hospital Medicine, NPI 1528374960, 05/23/2026 12:05.</w:t>
      </w:r>
    </w:p>
    <w:p>
      <w:pPr>
        <w:spacing w:after="40" w:before="0"/>
      </w:pP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